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3F8C" w14:textId="77777777" w:rsidR="00605AA8" w:rsidRDefault="00605AA8" w:rsidP="004E7B04">
      <w:pPr>
        <w:pStyle w:val="Title"/>
        <w:rPr>
          <w:rFonts w:ascii="Arial" w:hAnsi="Arial" w:cs="Arial"/>
        </w:rPr>
      </w:pPr>
      <w:bookmarkStart w:id="0" w:name="_GoBack"/>
      <w:bookmarkEnd w:id="0"/>
      <w:r w:rsidRPr="00133CFB">
        <w:rPr>
          <w:rFonts w:ascii="Arial" w:hAnsi="Arial" w:cs="Arial"/>
        </w:rPr>
        <w:t xml:space="preserve">NDS State of the Disability Sector </w:t>
      </w:r>
      <w:r w:rsidR="00BA7D02" w:rsidRPr="00133CFB">
        <w:rPr>
          <w:rFonts w:ascii="Arial" w:hAnsi="Arial" w:cs="Arial"/>
        </w:rPr>
        <w:br/>
      </w:r>
      <w:r w:rsidRPr="00133CFB">
        <w:rPr>
          <w:rFonts w:ascii="Arial" w:hAnsi="Arial" w:cs="Arial"/>
        </w:rPr>
        <w:t>Report 2014</w:t>
      </w:r>
    </w:p>
    <w:p w14:paraId="53EAAEEE" w14:textId="77777777" w:rsidR="00B00121" w:rsidRDefault="00C534D6">
      <w:pPr>
        <w:rPr>
          <w:rFonts w:ascii="Arial" w:hAnsi="Arial" w:cs="Arial"/>
          <w:sz w:val="24"/>
          <w:szCs w:val="24"/>
        </w:rPr>
      </w:pPr>
      <w:r>
        <w:rPr>
          <w:rFonts w:ascii="Arial" w:hAnsi="Arial" w:cs="Arial"/>
          <w:sz w:val="24"/>
          <w:szCs w:val="24"/>
        </w:rPr>
        <w:t>The uncertain policy environment makes planning difficult for service providers  – but</w:t>
      </w:r>
      <w:r w:rsidRPr="002A4594">
        <w:rPr>
          <w:rFonts w:ascii="Arial" w:hAnsi="Arial" w:cs="Arial"/>
          <w:sz w:val="24"/>
          <w:szCs w:val="24"/>
        </w:rPr>
        <w:t xml:space="preserve"> a road under construction is better than a sealed highway that heads in the wrong direction.</w:t>
      </w:r>
      <w:r w:rsidR="00B00121">
        <w:rPr>
          <w:rFonts w:ascii="Arial" w:hAnsi="Arial" w:cs="Arial"/>
          <w:sz w:val="24"/>
          <w:szCs w:val="24"/>
        </w:rPr>
        <w:br w:type="page"/>
      </w:r>
    </w:p>
    <w:p w14:paraId="6D45CED4" w14:textId="77777777" w:rsidR="00B00121" w:rsidRDefault="00B00121"/>
    <w:p w14:paraId="2A1C8A36" w14:textId="77777777" w:rsidR="00E86B36" w:rsidRPr="00EB0B49" w:rsidRDefault="00E86B36" w:rsidP="00EB0B49">
      <w:pPr>
        <w:pStyle w:val="TOC1"/>
      </w:pPr>
      <w:r w:rsidRPr="00EB0B49">
        <w:t>Table of contents</w:t>
      </w:r>
    </w:p>
    <w:p w14:paraId="23EF0260" w14:textId="77777777" w:rsidR="002A36F4" w:rsidRDefault="00953714">
      <w:pPr>
        <w:pStyle w:val="TOC1"/>
        <w:rPr>
          <w:rFonts w:asciiTheme="minorHAnsi" w:hAnsiTheme="minorHAnsi" w:cstheme="minorBidi"/>
          <w:noProof/>
          <w:sz w:val="22"/>
          <w:szCs w:val="22"/>
          <w:lang w:eastAsia="en-AU"/>
        </w:rPr>
      </w:pPr>
      <w:r w:rsidRPr="00EB0B49">
        <w:fldChar w:fldCharType="begin"/>
      </w:r>
      <w:r w:rsidRPr="00EB0B49">
        <w:instrText xml:space="preserve"> TOC \o "1-1" \h \z \u </w:instrText>
      </w:r>
      <w:r w:rsidRPr="00EB0B49">
        <w:fldChar w:fldCharType="separate"/>
      </w:r>
      <w:hyperlink w:anchor="_Toc405797896" w:history="1">
        <w:r w:rsidR="002A36F4" w:rsidRPr="00DE4AE7">
          <w:rPr>
            <w:rStyle w:val="Hyperlink"/>
            <w:noProof/>
          </w:rPr>
          <w:t>Introduction</w:t>
        </w:r>
        <w:r w:rsidR="002A36F4">
          <w:rPr>
            <w:noProof/>
            <w:webHidden/>
          </w:rPr>
          <w:tab/>
        </w:r>
        <w:r w:rsidR="002A36F4">
          <w:rPr>
            <w:noProof/>
            <w:webHidden/>
          </w:rPr>
          <w:fldChar w:fldCharType="begin"/>
        </w:r>
        <w:r w:rsidR="002A36F4">
          <w:rPr>
            <w:noProof/>
            <w:webHidden/>
          </w:rPr>
          <w:instrText xml:space="preserve"> PAGEREF _Toc405797896 \h </w:instrText>
        </w:r>
        <w:r w:rsidR="002A36F4">
          <w:rPr>
            <w:noProof/>
            <w:webHidden/>
          </w:rPr>
        </w:r>
        <w:r w:rsidR="002A36F4">
          <w:rPr>
            <w:noProof/>
            <w:webHidden/>
          </w:rPr>
          <w:fldChar w:fldCharType="separate"/>
        </w:r>
        <w:r w:rsidR="002A36F4">
          <w:rPr>
            <w:noProof/>
            <w:webHidden/>
          </w:rPr>
          <w:t>4</w:t>
        </w:r>
        <w:r w:rsidR="002A36F4">
          <w:rPr>
            <w:noProof/>
            <w:webHidden/>
          </w:rPr>
          <w:fldChar w:fldCharType="end"/>
        </w:r>
      </w:hyperlink>
    </w:p>
    <w:p w14:paraId="233ADEAA" w14:textId="77777777" w:rsidR="002A36F4" w:rsidRDefault="0014361A">
      <w:pPr>
        <w:pStyle w:val="TOC1"/>
        <w:rPr>
          <w:rFonts w:asciiTheme="minorHAnsi" w:hAnsiTheme="minorHAnsi" w:cstheme="minorBidi"/>
          <w:noProof/>
          <w:sz w:val="22"/>
          <w:szCs w:val="22"/>
          <w:lang w:eastAsia="en-AU"/>
        </w:rPr>
      </w:pPr>
      <w:hyperlink w:anchor="_Toc405797897" w:history="1">
        <w:r w:rsidR="002A36F4" w:rsidRPr="00DE4AE7">
          <w:rPr>
            <w:rStyle w:val="Hyperlink"/>
            <w:noProof/>
          </w:rPr>
          <w:t>The NDS Business Confidence Survey</w:t>
        </w:r>
        <w:r w:rsidR="002A36F4">
          <w:rPr>
            <w:noProof/>
            <w:webHidden/>
          </w:rPr>
          <w:tab/>
        </w:r>
        <w:r w:rsidR="002A36F4">
          <w:rPr>
            <w:noProof/>
            <w:webHidden/>
          </w:rPr>
          <w:fldChar w:fldCharType="begin"/>
        </w:r>
        <w:r w:rsidR="002A36F4">
          <w:rPr>
            <w:noProof/>
            <w:webHidden/>
          </w:rPr>
          <w:instrText xml:space="preserve"> PAGEREF _Toc405797897 \h </w:instrText>
        </w:r>
        <w:r w:rsidR="002A36F4">
          <w:rPr>
            <w:noProof/>
            <w:webHidden/>
          </w:rPr>
        </w:r>
        <w:r w:rsidR="002A36F4">
          <w:rPr>
            <w:noProof/>
            <w:webHidden/>
          </w:rPr>
          <w:fldChar w:fldCharType="separate"/>
        </w:r>
        <w:r w:rsidR="002A36F4">
          <w:rPr>
            <w:noProof/>
            <w:webHidden/>
          </w:rPr>
          <w:t>6</w:t>
        </w:r>
        <w:r w:rsidR="002A36F4">
          <w:rPr>
            <w:noProof/>
            <w:webHidden/>
          </w:rPr>
          <w:fldChar w:fldCharType="end"/>
        </w:r>
      </w:hyperlink>
    </w:p>
    <w:p w14:paraId="247CE5AB" w14:textId="77777777" w:rsidR="002A36F4" w:rsidRDefault="0014361A">
      <w:pPr>
        <w:pStyle w:val="TOC1"/>
        <w:rPr>
          <w:rFonts w:asciiTheme="minorHAnsi" w:hAnsiTheme="minorHAnsi" w:cstheme="minorBidi"/>
          <w:noProof/>
          <w:sz w:val="22"/>
          <w:szCs w:val="22"/>
          <w:lang w:eastAsia="en-AU"/>
        </w:rPr>
      </w:pPr>
      <w:hyperlink w:anchor="_Toc405797898" w:history="1">
        <w:r w:rsidR="002A36F4" w:rsidRPr="00DE4AE7">
          <w:rPr>
            <w:rStyle w:val="Hyperlink"/>
            <w:noProof/>
          </w:rPr>
          <w:t>What have we learned from the first wave of the NDS Business Confidence Survey?</w:t>
        </w:r>
        <w:r w:rsidR="002A36F4">
          <w:rPr>
            <w:noProof/>
            <w:webHidden/>
          </w:rPr>
          <w:tab/>
        </w:r>
        <w:r w:rsidR="002A36F4">
          <w:rPr>
            <w:noProof/>
            <w:webHidden/>
          </w:rPr>
          <w:fldChar w:fldCharType="begin"/>
        </w:r>
        <w:r w:rsidR="002A36F4">
          <w:rPr>
            <w:noProof/>
            <w:webHidden/>
          </w:rPr>
          <w:instrText xml:space="preserve"> PAGEREF _Toc405797898 \h </w:instrText>
        </w:r>
        <w:r w:rsidR="002A36F4">
          <w:rPr>
            <w:noProof/>
            <w:webHidden/>
          </w:rPr>
        </w:r>
        <w:r w:rsidR="002A36F4">
          <w:rPr>
            <w:noProof/>
            <w:webHidden/>
          </w:rPr>
          <w:fldChar w:fldCharType="separate"/>
        </w:r>
        <w:r w:rsidR="002A36F4">
          <w:rPr>
            <w:noProof/>
            <w:webHidden/>
          </w:rPr>
          <w:t>6</w:t>
        </w:r>
        <w:r w:rsidR="002A36F4">
          <w:rPr>
            <w:noProof/>
            <w:webHidden/>
          </w:rPr>
          <w:fldChar w:fldCharType="end"/>
        </w:r>
      </w:hyperlink>
    </w:p>
    <w:p w14:paraId="668396A7" w14:textId="77777777" w:rsidR="002A36F4" w:rsidRDefault="0014361A">
      <w:pPr>
        <w:pStyle w:val="TOC1"/>
        <w:rPr>
          <w:rFonts w:asciiTheme="minorHAnsi" w:hAnsiTheme="minorHAnsi" w:cstheme="minorBidi"/>
          <w:noProof/>
          <w:sz w:val="22"/>
          <w:szCs w:val="22"/>
          <w:lang w:eastAsia="en-AU"/>
        </w:rPr>
      </w:pPr>
      <w:hyperlink w:anchor="_Toc405797899" w:history="1">
        <w:r w:rsidR="002A36F4" w:rsidRPr="00DE4AE7">
          <w:rPr>
            <w:rStyle w:val="Hyperlink"/>
            <w:noProof/>
          </w:rPr>
          <w:t>The National Disability Insurance Scheme (NDIS)</w:t>
        </w:r>
        <w:r w:rsidR="002A36F4">
          <w:rPr>
            <w:noProof/>
            <w:webHidden/>
          </w:rPr>
          <w:tab/>
        </w:r>
        <w:r w:rsidR="002A36F4">
          <w:rPr>
            <w:noProof/>
            <w:webHidden/>
          </w:rPr>
          <w:fldChar w:fldCharType="begin"/>
        </w:r>
        <w:r w:rsidR="002A36F4">
          <w:rPr>
            <w:noProof/>
            <w:webHidden/>
          </w:rPr>
          <w:instrText xml:space="preserve"> PAGEREF _Toc405797899 \h </w:instrText>
        </w:r>
        <w:r w:rsidR="002A36F4">
          <w:rPr>
            <w:noProof/>
            <w:webHidden/>
          </w:rPr>
        </w:r>
        <w:r w:rsidR="002A36F4">
          <w:rPr>
            <w:noProof/>
            <w:webHidden/>
          </w:rPr>
          <w:fldChar w:fldCharType="separate"/>
        </w:r>
        <w:r w:rsidR="002A36F4">
          <w:rPr>
            <w:noProof/>
            <w:webHidden/>
          </w:rPr>
          <w:t>11</w:t>
        </w:r>
        <w:r w:rsidR="002A36F4">
          <w:rPr>
            <w:noProof/>
            <w:webHidden/>
          </w:rPr>
          <w:fldChar w:fldCharType="end"/>
        </w:r>
      </w:hyperlink>
    </w:p>
    <w:p w14:paraId="61377416" w14:textId="77777777" w:rsidR="002A36F4" w:rsidRDefault="0014361A">
      <w:pPr>
        <w:pStyle w:val="TOC1"/>
        <w:rPr>
          <w:rFonts w:asciiTheme="minorHAnsi" w:hAnsiTheme="minorHAnsi" w:cstheme="minorBidi"/>
          <w:noProof/>
          <w:sz w:val="22"/>
          <w:szCs w:val="22"/>
          <w:lang w:eastAsia="en-AU"/>
        </w:rPr>
      </w:pPr>
      <w:hyperlink w:anchor="_Toc405797900" w:history="1">
        <w:r w:rsidR="002A36F4" w:rsidRPr="00DE4AE7">
          <w:rPr>
            <w:rStyle w:val="Hyperlink"/>
            <w:noProof/>
          </w:rPr>
          <w:t>The policy and economic landscape beyond the NDIS</w:t>
        </w:r>
        <w:r w:rsidR="002A36F4">
          <w:rPr>
            <w:noProof/>
            <w:webHidden/>
          </w:rPr>
          <w:tab/>
        </w:r>
        <w:r w:rsidR="002A36F4">
          <w:rPr>
            <w:noProof/>
            <w:webHidden/>
          </w:rPr>
          <w:fldChar w:fldCharType="begin"/>
        </w:r>
        <w:r w:rsidR="002A36F4">
          <w:rPr>
            <w:noProof/>
            <w:webHidden/>
          </w:rPr>
          <w:instrText xml:space="preserve"> PAGEREF _Toc405797900 \h </w:instrText>
        </w:r>
        <w:r w:rsidR="002A36F4">
          <w:rPr>
            <w:noProof/>
            <w:webHidden/>
          </w:rPr>
        </w:r>
        <w:r w:rsidR="002A36F4">
          <w:rPr>
            <w:noProof/>
            <w:webHidden/>
          </w:rPr>
          <w:fldChar w:fldCharType="separate"/>
        </w:r>
        <w:r w:rsidR="002A36F4">
          <w:rPr>
            <w:noProof/>
            <w:webHidden/>
          </w:rPr>
          <w:t>19</w:t>
        </w:r>
        <w:r w:rsidR="002A36F4">
          <w:rPr>
            <w:noProof/>
            <w:webHidden/>
          </w:rPr>
          <w:fldChar w:fldCharType="end"/>
        </w:r>
      </w:hyperlink>
    </w:p>
    <w:p w14:paraId="276D4DA8" w14:textId="77777777" w:rsidR="002A36F4" w:rsidRDefault="0014361A">
      <w:pPr>
        <w:pStyle w:val="TOC1"/>
        <w:rPr>
          <w:rFonts w:asciiTheme="minorHAnsi" w:hAnsiTheme="minorHAnsi" w:cstheme="minorBidi"/>
          <w:noProof/>
          <w:sz w:val="22"/>
          <w:szCs w:val="22"/>
          <w:lang w:eastAsia="en-AU"/>
        </w:rPr>
      </w:pPr>
      <w:hyperlink w:anchor="_Toc405797901" w:history="1">
        <w:r w:rsidR="002A36F4" w:rsidRPr="00DE4AE7">
          <w:rPr>
            <w:rStyle w:val="Hyperlink"/>
            <w:noProof/>
          </w:rPr>
          <w:t>Employment services</w:t>
        </w:r>
        <w:r w:rsidR="002A36F4">
          <w:rPr>
            <w:noProof/>
            <w:webHidden/>
          </w:rPr>
          <w:tab/>
        </w:r>
        <w:r w:rsidR="002A36F4">
          <w:rPr>
            <w:noProof/>
            <w:webHidden/>
          </w:rPr>
          <w:fldChar w:fldCharType="begin"/>
        </w:r>
        <w:r w:rsidR="002A36F4">
          <w:rPr>
            <w:noProof/>
            <w:webHidden/>
          </w:rPr>
          <w:instrText xml:space="preserve"> PAGEREF _Toc405797901 \h </w:instrText>
        </w:r>
        <w:r w:rsidR="002A36F4">
          <w:rPr>
            <w:noProof/>
            <w:webHidden/>
          </w:rPr>
        </w:r>
        <w:r w:rsidR="002A36F4">
          <w:rPr>
            <w:noProof/>
            <w:webHidden/>
          </w:rPr>
          <w:fldChar w:fldCharType="separate"/>
        </w:r>
        <w:r w:rsidR="002A36F4">
          <w:rPr>
            <w:noProof/>
            <w:webHidden/>
          </w:rPr>
          <w:t>23</w:t>
        </w:r>
        <w:r w:rsidR="002A36F4">
          <w:rPr>
            <w:noProof/>
            <w:webHidden/>
          </w:rPr>
          <w:fldChar w:fldCharType="end"/>
        </w:r>
      </w:hyperlink>
    </w:p>
    <w:p w14:paraId="2748DB75" w14:textId="77777777" w:rsidR="002A36F4" w:rsidRDefault="0014361A">
      <w:pPr>
        <w:pStyle w:val="TOC1"/>
        <w:rPr>
          <w:rFonts w:asciiTheme="minorHAnsi" w:hAnsiTheme="minorHAnsi" w:cstheme="minorBidi"/>
          <w:noProof/>
          <w:sz w:val="22"/>
          <w:szCs w:val="22"/>
          <w:lang w:eastAsia="en-AU"/>
        </w:rPr>
      </w:pPr>
      <w:hyperlink w:anchor="_Toc405797902" w:history="1">
        <w:r w:rsidR="002A36F4" w:rsidRPr="00DE4AE7">
          <w:rPr>
            <w:rStyle w:val="Hyperlink"/>
            <w:noProof/>
          </w:rPr>
          <w:t>Workforce sustainability</w:t>
        </w:r>
        <w:r w:rsidR="002A36F4">
          <w:rPr>
            <w:noProof/>
            <w:webHidden/>
          </w:rPr>
          <w:tab/>
        </w:r>
        <w:r w:rsidR="002A36F4">
          <w:rPr>
            <w:noProof/>
            <w:webHidden/>
          </w:rPr>
          <w:fldChar w:fldCharType="begin"/>
        </w:r>
        <w:r w:rsidR="002A36F4">
          <w:rPr>
            <w:noProof/>
            <w:webHidden/>
          </w:rPr>
          <w:instrText xml:space="preserve"> PAGEREF _Toc405797902 \h </w:instrText>
        </w:r>
        <w:r w:rsidR="002A36F4">
          <w:rPr>
            <w:noProof/>
            <w:webHidden/>
          </w:rPr>
        </w:r>
        <w:r w:rsidR="002A36F4">
          <w:rPr>
            <w:noProof/>
            <w:webHidden/>
          </w:rPr>
          <w:fldChar w:fldCharType="separate"/>
        </w:r>
        <w:r w:rsidR="002A36F4">
          <w:rPr>
            <w:noProof/>
            <w:webHidden/>
          </w:rPr>
          <w:t>29</w:t>
        </w:r>
        <w:r w:rsidR="002A36F4">
          <w:rPr>
            <w:noProof/>
            <w:webHidden/>
          </w:rPr>
          <w:fldChar w:fldCharType="end"/>
        </w:r>
      </w:hyperlink>
    </w:p>
    <w:p w14:paraId="3117DE8A" w14:textId="77777777" w:rsidR="002A36F4" w:rsidRDefault="0014361A">
      <w:pPr>
        <w:pStyle w:val="TOC1"/>
        <w:rPr>
          <w:rFonts w:asciiTheme="minorHAnsi" w:hAnsiTheme="minorHAnsi" w:cstheme="minorBidi"/>
          <w:noProof/>
          <w:sz w:val="22"/>
          <w:szCs w:val="22"/>
          <w:lang w:eastAsia="en-AU"/>
        </w:rPr>
      </w:pPr>
      <w:hyperlink w:anchor="_Toc405797903" w:history="1">
        <w:r w:rsidR="002A36F4" w:rsidRPr="00DE4AE7">
          <w:rPr>
            <w:rStyle w:val="Hyperlink"/>
            <w:noProof/>
          </w:rPr>
          <w:t>Research and evidence</w:t>
        </w:r>
        <w:r w:rsidR="002A36F4">
          <w:rPr>
            <w:noProof/>
            <w:webHidden/>
          </w:rPr>
          <w:tab/>
        </w:r>
        <w:r w:rsidR="002A36F4">
          <w:rPr>
            <w:noProof/>
            <w:webHidden/>
          </w:rPr>
          <w:fldChar w:fldCharType="begin"/>
        </w:r>
        <w:r w:rsidR="002A36F4">
          <w:rPr>
            <w:noProof/>
            <w:webHidden/>
          </w:rPr>
          <w:instrText xml:space="preserve"> PAGEREF _Toc405797903 \h </w:instrText>
        </w:r>
        <w:r w:rsidR="002A36F4">
          <w:rPr>
            <w:noProof/>
            <w:webHidden/>
          </w:rPr>
        </w:r>
        <w:r w:rsidR="002A36F4">
          <w:rPr>
            <w:noProof/>
            <w:webHidden/>
          </w:rPr>
          <w:fldChar w:fldCharType="separate"/>
        </w:r>
        <w:r w:rsidR="002A36F4">
          <w:rPr>
            <w:noProof/>
            <w:webHidden/>
          </w:rPr>
          <w:t>34</w:t>
        </w:r>
        <w:r w:rsidR="002A36F4">
          <w:rPr>
            <w:noProof/>
            <w:webHidden/>
          </w:rPr>
          <w:fldChar w:fldCharType="end"/>
        </w:r>
      </w:hyperlink>
    </w:p>
    <w:p w14:paraId="7BC10F19" w14:textId="77777777" w:rsidR="002A36F4" w:rsidRDefault="0014361A">
      <w:pPr>
        <w:pStyle w:val="TOC1"/>
        <w:rPr>
          <w:rFonts w:asciiTheme="minorHAnsi" w:hAnsiTheme="minorHAnsi" w:cstheme="minorBidi"/>
          <w:noProof/>
          <w:sz w:val="22"/>
          <w:szCs w:val="22"/>
          <w:lang w:eastAsia="en-AU"/>
        </w:rPr>
      </w:pPr>
      <w:hyperlink w:anchor="_Toc405797904" w:history="1">
        <w:r w:rsidR="002A36F4" w:rsidRPr="00DE4AE7">
          <w:rPr>
            <w:rStyle w:val="Hyperlink"/>
            <w:noProof/>
          </w:rPr>
          <w:t>Conclusions</w:t>
        </w:r>
        <w:r w:rsidR="002A36F4">
          <w:rPr>
            <w:noProof/>
            <w:webHidden/>
          </w:rPr>
          <w:tab/>
        </w:r>
        <w:r w:rsidR="002A36F4">
          <w:rPr>
            <w:noProof/>
            <w:webHidden/>
          </w:rPr>
          <w:fldChar w:fldCharType="begin"/>
        </w:r>
        <w:r w:rsidR="002A36F4">
          <w:rPr>
            <w:noProof/>
            <w:webHidden/>
          </w:rPr>
          <w:instrText xml:space="preserve"> PAGEREF _Toc405797904 \h </w:instrText>
        </w:r>
        <w:r w:rsidR="002A36F4">
          <w:rPr>
            <w:noProof/>
            <w:webHidden/>
          </w:rPr>
        </w:r>
        <w:r w:rsidR="002A36F4">
          <w:rPr>
            <w:noProof/>
            <w:webHidden/>
          </w:rPr>
          <w:fldChar w:fldCharType="separate"/>
        </w:r>
        <w:r w:rsidR="002A36F4">
          <w:rPr>
            <w:noProof/>
            <w:webHidden/>
          </w:rPr>
          <w:t>35</w:t>
        </w:r>
        <w:r w:rsidR="002A36F4">
          <w:rPr>
            <w:noProof/>
            <w:webHidden/>
          </w:rPr>
          <w:fldChar w:fldCharType="end"/>
        </w:r>
      </w:hyperlink>
    </w:p>
    <w:p w14:paraId="386D3069" w14:textId="77777777" w:rsidR="00F84EA1" w:rsidRDefault="00953714" w:rsidP="00F84EA1">
      <w:pPr>
        <w:pStyle w:val="Heading2"/>
        <w:rPr>
          <w:rFonts w:cs="Arial"/>
          <w:sz w:val="24"/>
          <w:szCs w:val="24"/>
        </w:rPr>
      </w:pPr>
      <w:r w:rsidRPr="00EB0B49">
        <w:rPr>
          <w:rFonts w:cs="Arial"/>
          <w:sz w:val="24"/>
          <w:szCs w:val="24"/>
        </w:rPr>
        <w:fldChar w:fldCharType="end"/>
      </w:r>
      <w:bookmarkStart w:id="1" w:name="_Toc403038198"/>
      <w:bookmarkStart w:id="2" w:name="_Toc403051738"/>
    </w:p>
    <w:p w14:paraId="4FE70F93" w14:textId="77777777" w:rsidR="00F84EA1" w:rsidRDefault="00F84EA1" w:rsidP="00F84EA1">
      <w:pPr>
        <w:rPr>
          <w:rFonts w:ascii="Arial" w:eastAsiaTheme="majorEastAsia" w:hAnsi="Arial"/>
        </w:rPr>
      </w:pPr>
      <w:r>
        <w:br w:type="page"/>
      </w:r>
    </w:p>
    <w:p w14:paraId="6E4D55AA" w14:textId="77777777" w:rsidR="00C534D6" w:rsidRPr="00133CFB" w:rsidRDefault="00C534D6" w:rsidP="00F84EA1">
      <w:pPr>
        <w:pStyle w:val="Heading2"/>
        <w:rPr>
          <w:sz w:val="24"/>
          <w:szCs w:val="24"/>
        </w:rPr>
      </w:pPr>
      <w:r>
        <w:lastRenderedPageBreak/>
        <w:t>The disability s</w:t>
      </w:r>
      <w:r w:rsidRPr="00133CFB">
        <w:t>ector</w:t>
      </w:r>
      <w:r>
        <w:t xml:space="preserve"> in profile</w:t>
      </w:r>
    </w:p>
    <w:p w14:paraId="27DC3DBD" w14:textId="77777777" w:rsidR="00C534D6" w:rsidRDefault="00C534D6" w:rsidP="00C534D6">
      <w:pPr>
        <w:rPr>
          <w:rFonts w:ascii="Arial" w:hAnsi="Arial" w:cs="Arial"/>
          <w:sz w:val="24"/>
          <w:szCs w:val="24"/>
        </w:rPr>
      </w:pPr>
      <w:r w:rsidRPr="00133CFB">
        <w:rPr>
          <w:rFonts w:ascii="Arial" w:hAnsi="Arial" w:cs="Arial"/>
          <w:sz w:val="24"/>
          <w:szCs w:val="24"/>
        </w:rPr>
        <w:t xml:space="preserve">Disability support organisations </w:t>
      </w:r>
      <w:r>
        <w:rPr>
          <w:rFonts w:ascii="Arial" w:hAnsi="Arial" w:cs="Arial"/>
          <w:sz w:val="24"/>
          <w:szCs w:val="24"/>
        </w:rPr>
        <w:t xml:space="preserve">assist </w:t>
      </w:r>
      <w:r w:rsidRPr="00133CFB">
        <w:rPr>
          <w:rFonts w:ascii="Arial" w:hAnsi="Arial" w:cs="Arial"/>
          <w:sz w:val="24"/>
          <w:szCs w:val="24"/>
        </w:rPr>
        <w:t>people with disability to realise their goals of accessing employment</w:t>
      </w:r>
      <w:r>
        <w:rPr>
          <w:rFonts w:ascii="Arial" w:hAnsi="Arial" w:cs="Arial"/>
          <w:sz w:val="24"/>
          <w:szCs w:val="24"/>
        </w:rPr>
        <w:t xml:space="preserve"> and accommodation</w:t>
      </w:r>
      <w:r w:rsidRPr="00133CFB">
        <w:rPr>
          <w:rFonts w:ascii="Arial" w:hAnsi="Arial" w:cs="Arial"/>
          <w:sz w:val="24"/>
          <w:szCs w:val="24"/>
        </w:rPr>
        <w:t xml:space="preserve">, living independently, </w:t>
      </w:r>
      <w:r w:rsidR="007C3956">
        <w:rPr>
          <w:rFonts w:ascii="Arial" w:hAnsi="Arial" w:cs="Arial"/>
          <w:sz w:val="24"/>
          <w:szCs w:val="24"/>
        </w:rPr>
        <w:t xml:space="preserve">gaining an education and </w:t>
      </w:r>
      <w:r>
        <w:rPr>
          <w:rFonts w:ascii="Arial" w:hAnsi="Arial" w:cs="Arial"/>
          <w:sz w:val="24"/>
          <w:szCs w:val="24"/>
        </w:rPr>
        <w:t xml:space="preserve">participating </w:t>
      </w:r>
      <w:r w:rsidR="009F76FA">
        <w:rPr>
          <w:rFonts w:ascii="Arial" w:hAnsi="Arial" w:cs="Arial"/>
          <w:sz w:val="24"/>
          <w:szCs w:val="24"/>
        </w:rPr>
        <w:t xml:space="preserve">in </w:t>
      </w:r>
      <w:r w:rsidRPr="00133CFB">
        <w:rPr>
          <w:rFonts w:ascii="Arial" w:hAnsi="Arial" w:cs="Arial"/>
          <w:sz w:val="24"/>
          <w:szCs w:val="24"/>
        </w:rPr>
        <w:t>community</w:t>
      </w:r>
      <w:r>
        <w:rPr>
          <w:rFonts w:ascii="Arial" w:hAnsi="Arial" w:cs="Arial"/>
          <w:sz w:val="24"/>
          <w:szCs w:val="24"/>
        </w:rPr>
        <w:t xml:space="preserve"> life</w:t>
      </w:r>
      <w:r w:rsidRPr="00133CFB">
        <w:rPr>
          <w:rFonts w:ascii="Arial" w:hAnsi="Arial" w:cs="Arial"/>
          <w:sz w:val="24"/>
          <w:szCs w:val="24"/>
        </w:rPr>
        <w:t xml:space="preserve">. </w:t>
      </w:r>
    </w:p>
    <w:p w14:paraId="4739538D" w14:textId="77777777" w:rsidR="00D91A20" w:rsidRPr="00C94B8A" w:rsidRDefault="0080547B" w:rsidP="004E7B04">
      <w:pPr>
        <w:rPr>
          <w:rFonts w:ascii="Arial" w:hAnsi="Arial" w:cs="Arial"/>
          <w:b/>
          <w:sz w:val="24"/>
          <w:szCs w:val="24"/>
        </w:rPr>
      </w:pPr>
      <w:r w:rsidRPr="00C94B8A">
        <w:rPr>
          <w:rFonts w:ascii="Arial" w:hAnsi="Arial" w:cs="Arial"/>
          <w:b/>
          <w:sz w:val="24"/>
          <w:szCs w:val="24"/>
        </w:rPr>
        <w:t>The sector by the n</w:t>
      </w:r>
      <w:r w:rsidR="00D91A20" w:rsidRPr="00C94B8A">
        <w:rPr>
          <w:rFonts w:ascii="Arial" w:hAnsi="Arial" w:cs="Arial"/>
          <w:b/>
          <w:sz w:val="24"/>
          <w:szCs w:val="24"/>
        </w:rPr>
        <w:t>umbers</w:t>
      </w:r>
      <w:r w:rsidR="006F7787" w:rsidRPr="00C94B8A">
        <w:rPr>
          <w:rFonts w:ascii="Arial" w:hAnsi="Arial" w:cs="Arial"/>
          <w:b/>
          <w:sz w:val="24"/>
          <w:szCs w:val="24"/>
        </w:rPr>
        <w:t xml:space="preserve"> </w:t>
      </w:r>
    </w:p>
    <w:p w14:paraId="7D472488" w14:textId="77777777" w:rsidR="002F198A" w:rsidRPr="002F198A" w:rsidRDefault="000C4120" w:rsidP="002F198A">
      <w:pPr>
        <w:rPr>
          <w:rFonts w:ascii="Arial" w:hAnsi="Arial" w:cs="Arial"/>
          <w:sz w:val="24"/>
          <w:szCs w:val="24"/>
        </w:rPr>
      </w:pPr>
      <w:r w:rsidRPr="00AA5853">
        <w:rPr>
          <w:rFonts w:ascii="Arial" w:hAnsi="Arial" w:cs="Arial"/>
          <w:sz w:val="24"/>
          <w:szCs w:val="24"/>
        </w:rPr>
        <w:t xml:space="preserve">Total number of people supported by funded services in 2012-13 </w:t>
      </w:r>
      <w:r>
        <w:rPr>
          <w:rFonts w:ascii="Arial" w:hAnsi="Arial" w:cs="Arial"/>
          <w:sz w:val="24"/>
          <w:szCs w:val="24"/>
        </w:rPr>
        <w:t>=</w:t>
      </w:r>
      <w:r w:rsidRPr="00AA5853">
        <w:rPr>
          <w:rFonts w:ascii="Arial" w:hAnsi="Arial" w:cs="Arial"/>
          <w:sz w:val="24"/>
          <w:szCs w:val="24"/>
        </w:rPr>
        <w:t xml:space="preserve"> 312,539</w:t>
      </w:r>
      <w:r w:rsidRPr="00AA5853">
        <w:rPr>
          <w:rFonts w:ascii="Arial" w:hAnsi="Arial" w:cs="Arial"/>
          <w:sz w:val="24"/>
          <w:szCs w:val="24"/>
        </w:rPr>
        <w:br/>
      </w:r>
      <w:r w:rsidR="00D91A20" w:rsidRPr="00AA5853">
        <w:rPr>
          <w:rFonts w:ascii="Arial" w:hAnsi="Arial" w:cs="Arial"/>
          <w:sz w:val="24"/>
          <w:szCs w:val="24"/>
        </w:rPr>
        <w:t>Estimated total hours of service provided across Australia = 55,160,090</w:t>
      </w:r>
      <w:r w:rsidR="000C3455" w:rsidRPr="00AA5853">
        <w:rPr>
          <w:rFonts w:ascii="Arial" w:hAnsi="Arial" w:cs="Arial"/>
          <w:sz w:val="24"/>
          <w:szCs w:val="24"/>
        </w:rPr>
        <w:br/>
      </w:r>
      <w:r w:rsidR="00D91A20" w:rsidRPr="00C534D6">
        <w:rPr>
          <w:rFonts w:ascii="Arial" w:eastAsia="Times New Roman" w:hAnsi="Arial" w:cs="Arial"/>
          <w:sz w:val="24"/>
          <w:szCs w:val="24"/>
          <w:lang w:eastAsia="en-AU"/>
        </w:rPr>
        <w:t>Nation</w:t>
      </w:r>
      <w:r w:rsidR="00C534D6" w:rsidRPr="00C534D6">
        <w:rPr>
          <w:rFonts w:ascii="Arial" w:eastAsia="Times New Roman" w:hAnsi="Arial" w:cs="Arial"/>
          <w:sz w:val="24"/>
          <w:szCs w:val="24"/>
          <w:lang w:eastAsia="en-AU"/>
        </w:rPr>
        <w:t>al annual expenditure per service user</w:t>
      </w:r>
      <w:r w:rsidR="00D91A20" w:rsidRPr="00C534D6">
        <w:rPr>
          <w:rFonts w:ascii="Arial" w:eastAsia="Times New Roman" w:hAnsi="Arial" w:cs="Arial"/>
          <w:sz w:val="24"/>
          <w:szCs w:val="24"/>
          <w:lang w:eastAsia="en-AU"/>
        </w:rPr>
        <w:t xml:space="preserve"> = $21,329</w:t>
      </w:r>
      <w:r w:rsidR="007C3956">
        <w:rPr>
          <w:rFonts w:ascii="Arial" w:eastAsia="Times New Roman" w:hAnsi="Arial" w:cs="Arial"/>
          <w:sz w:val="24"/>
          <w:szCs w:val="24"/>
          <w:lang w:eastAsia="en-AU"/>
        </w:rPr>
        <w:br/>
      </w:r>
      <w:r w:rsidRPr="00C534D6">
        <w:rPr>
          <w:rFonts w:ascii="Arial" w:hAnsi="Arial" w:cs="Arial"/>
          <w:sz w:val="24"/>
          <w:szCs w:val="24"/>
        </w:rPr>
        <w:t>Number of disability support organisations = 2</w:t>
      </w:r>
      <w:r>
        <w:rPr>
          <w:rFonts w:ascii="Arial" w:hAnsi="Arial" w:cs="Arial"/>
          <w:sz w:val="24"/>
          <w:szCs w:val="24"/>
        </w:rPr>
        <w:t>,</w:t>
      </w:r>
      <w:r w:rsidRPr="00C534D6">
        <w:rPr>
          <w:rFonts w:ascii="Arial" w:hAnsi="Arial" w:cs="Arial"/>
          <w:sz w:val="24"/>
          <w:szCs w:val="24"/>
        </w:rPr>
        <w:t>151</w:t>
      </w:r>
      <w:r>
        <w:rPr>
          <w:rFonts w:ascii="Arial" w:hAnsi="Arial" w:cs="Arial"/>
          <w:sz w:val="24"/>
          <w:szCs w:val="24"/>
        </w:rPr>
        <w:br/>
      </w:r>
      <w:r w:rsidRPr="00AA5853">
        <w:rPr>
          <w:rFonts w:ascii="Arial" w:hAnsi="Arial" w:cs="Arial"/>
          <w:sz w:val="24"/>
          <w:szCs w:val="24"/>
        </w:rPr>
        <w:t>Average expenditure on disability support services per organisation = $3.3 million</w:t>
      </w:r>
      <w:r w:rsidRPr="00AA5853">
        <w:rPr>
          <w:rFonts w:ascii="Arial" w:hAnsi="Arial" w:cs="Arial"/>
          <w:sz w:val="24"/>
          <w:szCs w:val="24"/>
        </w:rPr>
        <w:br/>
      </w:r>
      <w:r w:rsidR="007C3956" w:rsidRPr="002F198A">
        <w:rPr>
          <w:rFonts w:ascii="Arial" w:hAnsi="Arial" w:cs="Arial"/>
          <w:sz w:val="24"/>
          <w:szCs w:val="24"/>
        </w:rPr>
        <w:t>Proportion of the disa</w:t>
      </w:r>
      <w:r w:rsidR="009F76FA">
        <w:rPr>
          <w:rFonts w:ascii="Arial" w:hAnsi="Arial" w:cs="Arial"/>
          <w:sz w:val="24"/>
          <w:szCs w:val="24"/>
        </w:rPr>
        <w:t xml:space="preserve">bility service budget spent on </w:t>
      </w:r>
      <w:r w:rsidR="007C3956" w:rsidRPr="002F198A">
        <w:rPr>
          <w:rFonts w:ascii="Arial" w:hAnsi="Arial" w:cs="Arial"/>
          <w:sz w:val="24"/>
          <w:szCs w:val="24"/>
        </w:rPr>
        <w:t>accommo</w:t>
      </w:r>
      <w:r w:rsidR="007C3956">
        <w:rPr>
          <w:rFonts w:ascii="Arial" w:hAnsi="Arial" w:cs="Arial"/>
          <w:sz w:val="24"/>
          <w:szCs w:val="24"/>
        </w:rPr>
        <w:t>dation support in 2012-13 = 47%</w:t>
      </w:r>
      <w:r w:rsidR="007C3956">
        <w:rPr>
          <w:rFonts w:ascii="Arial" w:hAnsi="Arial" w:cs="Arial"/>
          <w:sz w:val="24"/>
          <w:szCs w:val="24"/>
        </w:rPr>
        <w:br/>
      </w:r>
      <w:r w:rsidR="00D576EE" w:rsidRPr="00AA5853">
        <w:rPr>
          <w:rFonts w:ascii="Arial" w:hAnsi="Arial" w:cs="Arial"/>
          <w:sz w:val="24"/>
          <w:szCs w:val="24"/>
        </w:rPr>
        <w:t>Average number of service users per organisation = 145</w:t>
      </w:r>
      <w:r w:rsidR="00D576EE" w:rsidRPr="00AA5853">
        <w:rPr>
          <w:rFonts w:ascii="Arial" w:hAnsi="Arial" w:cs="Arial"/>
          <w:sz w:val="24"/>
          <w:szCs w:val="24"/>
        </w:rPr>
        <w:br/>
        <w:t xml:space="preserve">Average number of paid </w:t>
      </w:r>
      <w:r w:rsidR="00AA5853">
        <w:rPr>
          <w:rFonts w:ascii="Arial" w:hAnsi="Arial" w:cs="Arial"/>
          <w:sz w:val="24"/>
          <w:szCs w:val="24"/>
        </w:rPr>
        <w:t xml:space="preserve">full-time equivalent </w:t>
      </w:r>
      <w:r w:rsidR="00D576EE" w:rsidRPr="00AA5853">
        <w:rPr>
          <w:rFonts w:ascii="Arial" w:hAnsi="Arial" w:cs="Arial"/>
          <w:sz w:val="24"/>
          <w:szCs w:val="24"/>
        </w:rPr>
        <w:t>staff</w:t>
      </w:r>
      <w:r w:rsidR="00D91A20" w:rsidRPr="00AA5853">
        <w:rPr>
          <w:rFonts w:ascii="Arial" w:hAnsi="Arial" w:cs="Arial"/>
          <w:sz w:val="24"/>
          <w:szCs w:val="24"/>
        </w:rPr>
        <w:t xml:space="preserve"> per</w:t>
      </w:r>
      <w:r w:rsidR="00D576EE" w:rsidRPr="00AA5853">
        <w:rPr>
          <w:rFonts w:ascii="Arial" w:hAnsi="Arial" w:cs="Arial"/>
          <w:sz w:val="24"/>
          <w:szCs w:val="24"/>
        </w:rPr>
        <w:t xml:space="preserve"> organisation = 27</w:t>
      </w:r>
    </w:p>
    <w:p w14:paraId="2D516D38" w14:textId="77777777" w:rsidR="006F7787" w:rsidRPr="008E0B37" w:rsidRDefault="00E86B36" w:rsidP="00447F2C">
      <w:pPr>
        <w:pStyle w:val="Subtitle"/>
      </w:pPr>
      <w:r>
        <w:t>Figure 1</w:t>
      </w:r>
      <w:r w:rsidR="008E0B37" w:rsidRPr="008E0B37">
        <w:t>: service users by service type</w:t>
      </w:r>
    </w:p>
    <w:p w14:paraId="27D7C1E8" w14:textId="77777777" w:rsidR="006F7787" w:rsidRDefault="006F7787" w:rsidP="006F7787">
      <w:pPr>
        <w:rPr>
          <w:color w:val="1F497D"/>
        </w:rPr>
      </w:pPr>
      <w:r>
        <w:rPr>
          <w:noProof/>
          <w:color w:val="1F497D"/>
          <w:lang w:eastAsia="en-AU"/>
        </w:rPr>
        <w:drawing>
          <wp:inline distT="0" distB="0" distL="0" distR="0" wp14:anchorId="03451A80" wp14:editId="0D164358">
            <wp:extent cx="3090333" cy="2014487"/>
            <wp:effectExtent l="0" t="0" r="0" b="5080"/>
            <wp:docPr id="11" name="Picture 11" descr="A pie chart showing the following breakdown: community support 45 per cent; employment 41 per cent; community access 18 per cent; accommodation support 14 per cent; and respite 12 per cent." title="Figure 1: service users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png@01D004AC.4C2E198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101345" cy="2021665"/>
                    </a:xfrm>
                    <a:prstGeom prst="rect">
                      <a:avLst/>
                    </a:prstGeom>
                    <a:noFill/>
                    <a:ln>
                      <a:noFill/>
                    </a:ln>
                  </pic:spPr>
                </pic:pic>
              </a:graphicData>
            </a:graphic>
          </wp:inline>
        </w:drawing>
      </w:r>
    </w:p>
    <w:p w14:paraId="1B369C7A" w14:textId="77777777" w:rsidR="006F7787" w:rsidRDefault="00E86B36" w:rsidP="006F7787">
      <w:pPr>
        <w:rPr>
          <w:color w:val="1F497D"/>
        </w:rPr>
      </w:pPr>
      <w:r>
        <w:rPr>
          <w:rStyle w:val="SubtitleChar"/>
        </w:rPr>
        <w:t>Figure 2</w:t>
      </w:r>
      <w:r w:rsidR="00C94B8A" w:rsidRPr="00C94B8A">
        <w:rPr>
          <w:rStyle w:val="SubtitleChar"/>
        </w:rPr>
        <w:t xml:space="preserve">: </w:t>
      </w:r>
      <w:r w:rsidR="006F7787" w:rsidRPr="00C94B8A">
        <w:rPr>
          <w:rStyle w:val="SubtitleChar"/>
        </w:rPr>
        <w:t>disability support organisations</w:t>
      </w:r>
      <w:r w:rsidR="00C534D6">
        <w:rPr>
          <w:rStyle w:val="SubtitleChar"/>
        </w:rPr>
        <w:t xml:space="preserve"> by legal status</w:t>
      </w:r>
      <w:r w:rsidR="006F7787">
        <w:rPr>
          <w:noProof/>
          <w:color w:val="1F497D"/>
          <w:lang w:eastAsia="en-AU"/>
        </w:rPr>
        <w:drawing>
          <wp:inline distT="0" distB="0" distL="0" distR="0" wp14:anchorId="2A224C35" wp14:editId="00D2516F">
            <wp:extent cx="3039533" cy="1983427"/>
            <wp:effectExtent l="0" t="0" r="8890" b="0"/>
            <wp:docPr id="8" name="Picture 8" descr="A pie chart showing the following breakdown: income tax exempt 70 per cent; government 12 per cent; and non-income tax exempt 10 per cent." title="Figure 2: disability support organisations by legal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3.png@01D004AC.4C2E19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57576" cy="1995201"/>
                    </a:xfrm>
                    <a:prstGeom prst="rect">
                      <a:avLst/>
                    </a:prstGeom>
                    <a:noFill/>
                    <a:ln>
                      <a:noFill/>
                    </a:ln>
                  </pic:spPr>
                </pic:pic>
              </a:graphicData>
            </a:graphic>
          </wp:inline>
        </w:drawing>
      </w:r>
    </w:p>
    <w:p w14:paraId="191DBAD5" w14:textId="77777777" w:rsidR="00D576EE" w:rsidRPr="00133CFB" w:rsidRDefault="00D576EE" w:rsidP="004E7B04">
      <w:pPr>
        <w:rPr>
          <w:rFonts w:ascii="Arial" w:hAnsi="Arial" w:cs="Arial"/>
          <w:color w:val="44546A" w:themeColor="text2"/>
          <w:sz w:val="24"/>
          <w:szCs w:val="24"/>
        </w:rPr>
      </w:pPr>
    </w:p>
    <w:bookmarkEnd w:id="1"/>
    <w:bookmarkEnd w:id="2"/>
    <w:p w14:paraId="24952DEF" w14:textId="77777777" w:rsidR="00F36528" w:rsidRDefault="00F36528">
      <w:pPr>
        <w:rPr>
          <w:rFonts w:ascii="Arial" w:eastAsiaTheme="majorEastAsia" w:hAnsi="Arial" w:cstheme="majorBidi"/>
          <w:b/>
          <w:bCs/>
          <w:sz w:val="28"/>
          <w:szCs w:val="28"/>
        </w:rPr>
      </w:pPr>
      <w:r>
        <w:br w:type="page"/>
      </w:r>
    </w:p>
    <w:p w14:paraId="0A0FF847" w14:textId="77777777" w:rsidR="00FD191C" w:rsidRPr="00FD191C" w:rsidRDefault="00FD191C" w:rsidP="00143028">
      <w:pPr>
        <w:pStyle w:val="Heading1"/>
      </w:pPr>
      <w:bookmarkStart w:id="3" w:name="_Toc405797896"/>
      <w:r w:rsidRPr="00FD191C">
        <w:lastRenderedPageBreak/>
        <w:t>Introduction</w:t>
      </w:r>
      <w:bookmarkEnd w:id="3"/>
    </w:p>
    <w:p w14:paraId="21B47617"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NDS is pleased to present the first State of the Disability Sector report. The report is timely. Far-reaching reforms are under way – or on the horizon – in the disability sector. Organisations face large planning and investment decisions. This report is designed to assist CEOs and directors of NDS member organisations to further their mission in this changing environment.</w:t>
      </w:r>
    </w:p>
    <w:p w14:paraId="23230FF9"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The National Disability Insurance Scheme (NDIS) is the largest of these reforms. Like an extensive renovation of a cramped, dilapidated home, we know it’s justified; and we’re excited when we see the architect’s plans and the bank is persuaded to finance the renovation.</w:t>
      </w:r>
    </w:p>
    <w:p w14:paraId="13287F1A"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But a few weeks after the builders arrive, the excitement has evaporated: the garden is a construction site, the bathroom is a mess of exposed pipe ends and we’re worried that the bank loan won’t stretch far enough. Our nerves are raw. This is the stage we’ve reached with the NDIS.</w:t>
      </w:r>
    </w:p>
    <w:p w14:paraId="13A0D267"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No one doubts that the disability system needs extensive renovation. It can’t respond to the growing demand for services; crises distort spending priorities; prescriptive government programs impede services from responding directly to the needs and goals of people with disability.</w:t>
      </w:r>
      <w:r w:rsidR="00C534D6">
        <w:rPr>
          <w:rFonts w:ascii="Arial" w:eastAsiaTheme="majorEastAsia" w:hAnsi="Arial" w:cstheme="majorBidi"/>
          <w:bCs/>
          <w:sz w:val="24"/>
          <w:szCs w:val="28"/>
        </w:rPr>
        <w:t xml:space="preserve"> </w:t>
      </w:r>
      <w:r w:rsidRPr="00FD191C">
        <w:rPr>
          <w:rFonts w:ascii="Arial" w:eastAsiaTheme="majorEastAsia" w:hAnsi="Arial" w:cstheme="majorBidi"/>
          <w:bCs/>
          <w:sz w:val="24"/>
          <w:szCs w:val="28"/>
        </w:rPr>
        <w:t xml:space="preserve">But transforming this dysfunctional system is complicated, arduous and stressful. </w:t>
      </w:r>
    </w:p>
    <w:p w14:paraId="1BB4779C"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 xml:space="preserve">Almost 18 months into the launch of the NDIS, the National Disability Insurance Agency </w:t>
      </w:r>
      <w:r w:rsidR="003543C2">
        <w:rPr>
          <w:rFonts w:ascii="Arial" w:eastAsiaTheme="majorEastAsia" w:hAnsi="Arial" w:cstheme="majorBidi"/>
          <w:bCs/>
          <w:sz w:val="24"/>
          <w:szCs w:val="28"/>
        </w:rPr>
        <w:t xml:space="preserve">(NDIA) </w:t>
      </w:r>
      <w:r w:rsidRPr="00FD191C">
        <w:rPr>
          <w:rFonts w:ascii="Arial" w:eastAsiaTheme="majorEastAsia" w:hAnsi="Arial" w:cstheme="majorBidi"/>
          <w:bCs/>
          <w:sz w:val="24"/>
          <w:szCs w:val="28"/>
        </w:rPr>
        <w:t xml:space="preserve">is immersed in problem-solving. The NDIS trial sites are testing the design across diverse functions, from assessment and planning to payment systems and transport. </w:t>
      </w:r>
    </w:p>
    <w:p w14:paraId="755D6C5E"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Significant pieces of the NDIS design are still being developed. They include a national quality and safeguards framework</w:t>
      </w:r>
      <w:r w:rsidR="009F76FA">
        <w:rPr>
          <w:rFonts w:ascii="Arial" w:eastAsiaTheme="majorEastAsia" w:hAnsi="Arial" w:cstheme="majorBidi"/>
          <w:bCs/>
          <w:sz w:val="24"/>
          <w:szCs w:val="28"/>
        </w:rPr>
        <w:t>,</w:t>
      </w:r>
      <w:r w:rsidRPr="00FD191C">
        <w:rPr>
          <w:rFonts w:ascii="Arial" w:eastAsiaTheme="majorEastAsia" w:hAnsi="Arial" w:cstheme="majorBidi"/>
          <w:bCs/>
          <w:sz w:val="24"/>
          <w:szCs w:val="28"/>
        </w:rPr>
        <w:t xml:space="preserve"> services for people who just miss out o</w:t>
      </w:r>
      <w:r w:rsidR="009F76FA">
        <w:rPr>
          <w:rFonts w:ascii="Arial" w:eastAsiaTheme="majorEastAsia" w:hAnsi="Arial" w:cstheme="majorBidi"/>
          <w:bCs/>
          <w:sz w:val="24"/>
          <w:szCs w:val="28"/>
        </w:rPr>
        <w:t>n an individual support package</w:t>
      </w:r>
      <w:r w:rsidRPr="00FD191C">
        <w:rPr>
          <w:rFonts w:ascii="Arial" w:eastAsiaTheme="majorEastAsia" w:hAnsi="Arial" w:cstheme="majorBidi"/>
          <w:bCs/>
          <w:sz w:val="24"/>
          <w:szCs w:val="28"/>
        </w:rPr>
        <w:t xml:space="preserve"> and the design of the future disability support market. </w:t>
      </w:r>
    </w:p>
    <w:p w14:paraId="1C13440B"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 xml:space="preserve">There are key questions that need answers before the </w:t>
      </w:r>
      <w:r w:rsidR="003543C2">
        <w:rPr>
          <w:rFonts w:ascii="Arial" w:eastAsiaTheme="majorEastAsia" w:hAnsi="Arial" w:cstheme="majorBidi"/>
          <w:bCs/>
          <w:sz w:val="24"/>
          <w:szCs w:val="28"/>
        </w:rPr>
        <w:t>NDIS</w:t>
      </w:r>
      <w:r w:rsidRPr="00FD191C">
        <w:rPr>
          <w:rFonts w:ascii="Arial" w:eastAsiaTheme="majorEastAsia" w:hAnsi="Arial" w:cstheme="majorBidi"/>
          <w:bCs/>
          <w:sz w:val="24"/>
          <w:szCs w:val="28"/>
        </w:rPr>
        <w:t xml:space="preserve"> escalates from trial sites (with around 30,000 people eligible for support) to national coverage (with up to 460,000 participants).</w:t>
      </w:r>
      <w:r w:rsidR="00E53E50">
        <w:rPr>
          <w:rFonts w:ascii="Arial" w:eastAsiaTheme="majorEastAsia" w:hAnsi="Arial" w:cstheme="majorBidi"/>
          <w:bCs/>
          <w:sz w:val="24"/>
          <w:szCs w:val="28"/>
        </w:rPr>
        <w:t xml:space="preserve"> </w:t>
      </w:r>
      <w:r w:rsidRPr="00FD191C">
        <w:rPr>
          <w:rFonts w:ascii="Arial" w:eastAsiaTheme="majorEastAsia" w:hAnsi="Arial" w:cstheme="majorBidi"/>
          <w:bCs/>
          <w:sz w:val="24"/>
          <w:szCs w:val="28"/>
        </w:rPr>
        <w:t>How will housing supply be increased to meet the high demand for accommodation support? How will an enlarged, appropriately</w:t>
      </w:r>
      <w:r w:rsidR="003543C2">
        <w:rPr>
          <w:rFonts w:ascii="Arial" w:eastAsiaTheme="majorEastAsia" w:hAnsi="Arial" w:cstheme="majorBidi"/>
          <w:bCs/>
          <w:sz w:val="24"/>
          <w:szCs w:val="28"/>
        </w:rPr>
        <w:t xml:space="preserve"> </w:t>
      </w:r>
      <w:r w:rsidRPr="00FD191C">
        <w:rPr>
          <w:rFonts w:ascii="Arial" w:eastAsiaTheme="majorEastAsia" w:hAnsi="Arial" w:cstheme="majorBidi"/>
          <w:bCs/>
          <w:sz w:val="24"/>
          <w:szCs w:val="28"/>
        </w:rPr>
        <w:t xml:space="preserve">skilled disability services workforce be built? </w:t>
      </w:r>
    </w:p>
    <w:p w14:paraId="2A261112"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 xml:space="preserve">Prices are a key source of tension. While the </w:t>
      </w:r>
      <w:r w:rsidR="003543C2">
        <w:rPr>
          <w:rFonts w:ascii="Arial" w:eastAsiaTheme="majorEastAsia" w:hAnsi="Arial" w:cstheme="majorBidi"/>
          <w:bCs/>
          <w:sz w:val="24"/>
          <w:szCs w:val="28"/>
        </w:rPr>
        <w:t>NDIA</w:t>
      </w:r>
      <w:r w:rsidRPr="00FD191C">
        <w:rPr>
          <w:rFonts w:ascii="Arial" w:eastAsiaTheme="majorEastAsia" w:hAnsi="Arial" w:cstheme="majorBidi"/>
          <w:bCs/>
          <w:sz w:val="24"/>
          <w:szCs w:val="28"/>
        </w:rPr>
        <w:t xml:space="preserve"> is under pressure to contain costs, service providers know that unless prices for one-to-one supports increase, the choice and quality of services available to people with disability will diminish.</w:t>
      </w:r>
    </w:p>
    <w:p w14:paraId="1169A66D"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 xml:space="preserve">The NDIS is not the only source of uncertainty for service providers. Australian Disability Enterprises (ADEs) are dealing with unresolved issues regarding wage assessment methods and future funding arrangements. Disability Employment Services (DES) are concerned about their financial viability in the face of rising compliance costs and a freeze on the indexation of fees. The prospect of applying competition policy to the community services sector raises many questions.  </w:t>
      </w:r>
    </w:p>
    <w:p w14:paraId="1D2250A2" w14:textId="77777777" w:rsidR="007D661E" w:rsidRDefault="00FD191C" w:rsidP="007D661E">
      <w:pPr>
        <w:spacing w:after="24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lastRenderedPageBreak/>
        <w:t xml:space="preserve">Of course, not all is upheaval and uncertainty. Great stories are emerging from the NDIS trial sites as services expand. In the Victorian Barwon region, a long-standing waiting list for services is now redundant. The </w:t>
      </w:r>
      <w:r w:rsidR="003543C2">
        <w:rPr>
          <w:rFonts w:ascii="Arial" w:eastAsiaTheme="majorEastAsia" w:hAnsi="Arial" w:cstheme="majorBidi"/>
          <w:bCs/>
          <w:sz w:val="24"/>
          <w:szCs w:val="28"/>
        </w:rPr>
        <w:t>‘</w:t>
      </w:r>
      <w:r w:rsidRPr="00FD191C">
        <w:rPr>
          <w:rFonts w:ascii="Arial" w:eastAsiaTheme="majorEastAsia" w:hAnsi="Arial" w:cstheme="majorBidi"/>
          <w:bCs/>
          <w:sz w:val="24"/>
          <w:szCs w:val="28"/>
        </w:rPr>
        <w:t>ADEs Work for Me</w:t>
      </w:r>
      <w:r w:rsidR="003543C2">
        <w:rPr>
          <w:rFonts w:ascii="Arial" w:eastAsiaTheme="majorEastAsia" w:hAnsi="Arial" w:cstheme="majorBidi"/>
          <w:bCs/>
          <w:sz w:val="24"/>
          <w:szCs w:val="28"/>
        </w:rPr>
        <w:t>’</w:t>
      </w:r>
      <w:r w:rsidRPr="00FD191C">
        <w:rPr>
          <w:rFonts w:ascii="Arial" w:eastAsiaTheme="majorEastAsia" w:hAnsi="Arial" w:cstheme="majorBidi"/>
          <w:bCs/>
          <w:sz w:val="24"/>
          <w:szCs w:val="28"/>
        </w:rPr>
        <w:t xml:space="preserve"> campaign is collecting compelling stories about the benefits of supported employment; and there are remarkable examples of people – supported by DES providers – who are defying predictions that they are unemployable.</w:t>
      </w:r>
    </w:p>
    <w:p w14:paraId="487C10B2" w14:textId="77777777" w:rsidR="00FD191C" w:rsidRPr="00FD191C" w:rsidRDefault="00FD191C" w:rsidP="007D661E">
      <w:pPr>
        <w:spacing w:after="24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 xml:space="preserve">The good stories will grow and the frustrations will diminish </w:t>
      </w:r>
      <w:r w:rsidR="009F76FA">
        <w:rPr>
          <w:rFonts w:ascii="Arial" w:eastAsiaTheme="majorEastAsia" w:hAnsi="Arial" w:cstheme="majorBidi"/>
          <w:bCs/>
          <w:sz w:val="24"/>
          <w:szCs w:val="28"/>
        </w:rPr>
        <w:t>–</w:t>
      </w:r>
      <w:r w:rsidRPr="00FD191C">
        <w:rPr>
          <w:rFonts w:ascii="Arial" w:eastAsiaTheme="majorEastAsia" w:hAnsi="Arial" w:cstheme="majorBidi"/>
          <w:bCs/>
          <w:sz w:val="24"/>
          <w:szCs w:val="28"/>
        </w:rPr>
        <w:t xml:space="preserve"> as long as governments and the </w:t>
      </w:r>
      <w:r w:rsidR="003543C2">
        <w:rPr>
          <w:rFonts w:ascii="Arial" w:eastAsiaTheme="majorEastAsia" w:hAnsi="Arial" w:cstheme="majorBidi"/>
          <w:bCs/>
          <w:sz w:val="24"/>
          <w:szCs w:val="28"/>
        </w:rPr>
        <w:t>NDIA</w:t>
      </w:r>
      <w:r w:rsidRPr="00FD191C">
        <w:rPr>
          <w:rFonts w:ascii="Arial" w:eastAsiaTheme="majorEastAsia" w:hAnsi="Arial" w:cstheme="majorBidi"/>
          <w:bCs/>
          <w:sz w:val="24"/>
          <w:szCs w:val="28"/>
        </w:rPr>
        <w:t xml:space="preserve"> listen carefully and respond to the experience of service providers, people with disability and their families and carers. Applying this principle of co-design across all forms of disability support will ensure that we build a system that works for all stakeholders. </w:t>
      </w:r>
    </w:p>
    <w:p w14:paraId="5A995F32" w14:textId="77777777" w:rsidR="00FD191C" w:rsidRPr="00FD191C" w:rsidRDefault="00FD191C" w:rsidP="00FD191C">
      <w:pPr>
        <w:spacing w:after="160" w:line="259" w:lineRule="auto"/>
        <w:rPr>
          <w:rFonts w:ascii="Arial" w:eastAsiaTheme="majorEastAsia" w:hAnsi="Arial" w:cstheme="majorBidi"/>
          <w:bCs/>
          <w:sz w:val="24"/>
          <w:szCs w:val="28"/>
        </w:rPr>
      </w:pPr>
      <w:r w:rsidRPr="00FD191C">
        <w:rPr>
          <w:rFonts w:ascii="Arial" w:eastAsiaTheme="majorEastAsia" w:hAnsi="Arial" w:cstheme="majorBidi"/>
          <w:bCs/>
          <w:sz w:val="24"/>
          <w:szCs w:val="28"/>
        </w:rPr>
        <w:t xml:space="preserve">In this spirit of co-design, I invite comment about this report, so that each year’s edition improves and remains closely attuned to the needs and interests of NDS members. </w:t>
      </w:r>
    </w:p>
    <w:p w14:paraId="48E5D588" w14:textId="77777777" w:rsidR="00FD191C" w:rsidRPr="00FD191C" w:rsidRDefault="00FD191C" w:rsidP="00FD191C">
      <w:pPr>
        <w:spacing w:after="160" w:line="259" w:lineRule="auto"/>
        <w:rPr>
          <w:rFonts w:ascii="Arial" w:eastAsiaTheme="majorEastAsia" w:hAnsi="Arial" w:cstheme="majorBidi"/>
          <w:bCs/>
          <w:sz w:val="24"/>
          <w:szCs w:val="28"/>
        </w:rPr>
      </w:pPr>
    </w:p>
    <w:p w14:paraId="343DB07A" w14:textId="77777777" w:rsidR="00FD191C" w:rsidRPr="00FD191C" w:rsidRDefault="00FD191C" w:rsidP="00FD191C">
      <w:pPr>
        <w:spacing w:after="40" w:line="240" w:lineRule="auto"/>
        <w:rPr>
          <w:rFonts w:ascii="Arial" w:eastAsiaTheme="majorEastAsia" w:hAnsi="Arial" w:cstheme="majorBidi"/>
          <w:bCs/>
          <w:sz w:val="24"/>
          <w:szCs w:val="28"/>
        </w:rPr>
      </w:pPr>
      <w:r w:rsidRPr="00FD191C">
        <w:rPr>
          <w:rFonts w:ascii="Arial" w:eastAsiaTheme="majorEastAsia" w:hAnsi="Arial" w:cstheme="majorBidi"/>
          <w:bCs/>
          <w:sz w:val="24"/>
          <w:szCs w:val="28"/>
        </w:rPr>
        <w:t>Ken Baker</w:t>
      </w:r>
    </w:p>
    <w:p w14:paraId="3DA80BA4" w14:textId="77777777" w:rsidR="00FD191C" w:rsidRPr="00FD191C" w:rsidRDefault="00FD191C" w:rsidP="00FD191C">
      <w:pPr>
        <w:spacing w:after="40" w:line="240" w:lineRule="auto"/>
        <w:rPr>
          <w:rFonts w:ascii="Arial" w:eastAsiaTheme="majorEastAsia" w:hAnsi="Arial" w:cstheme="majorBidi"/>
          <w:bCs/>
          <w:sz w:val="24"/>
          <w:szCs w:val="28"/>
        </w:rPr>
      </w:pPr>
      <w:r w:rsidRPr="00FD191C">
        <w:rPr>
          <w:rFonts w:ascii="Arial" w:eastAsiaTheme="majorEastAsia" w:hAnsi="Arial" w:cstheme="majorBidi"/>
          <w:bCs/>
          <w:sz w:val="24"/>
          <w:szCs w:val="28"/>
        </w:rPr>
        <w:t>Chief Executive</w:t>
      </w:r>
    </w:p>
    <w:p w14:paraId="72D36BD1" w14:textId="77777777" w:rsidR="00FD191C" w:rsidRPr="00FD191C" w:rsidRDefault="00FD191C" w:rsidP="00FD191C">
      <w:pPr>
        <w:spacing w:after="40" w:line="240" w:lineRule="auto"/>
        <w:rPr>
          <w:rFonts w:ascii="Arial" w:eastAsiaTheme="majorEastAsia" w:hAnsi="Arial" w:cstheme="majorBidi"/>
          <w:bCs/>
          <w:sz w:val="24"/>
          <w:szCs w:val="28"/>
        </w:rPr>
      </w:pPr>
      <w:r w:rsidRPr="00FD191C">
        <w:rPr>
          <w:rFonts w:ascii="Arial" w:eastAsiaTheme="majorEastAsia" w:hAnsi="Arial" w:cstheme="majorBidi"/>
          <w:bCs/>
          <w:sz w:val="24"/>
          <w:szCs w:val="28"/>
        </w:rPr>
        <w:t>National Disability Services</w:t>
      </w:r>
    </w:p>
    <w:p w14:paraId="33DC1794" w14:textId="77777777" w:rsidR="00CE521F" w:rsidRPr="00133CFB" w:rsidRDefault="00CE521F" w:rsidP="004E7B04">
      <w:pPr>
        <w:spacing w:after="160" w:line="259" w:lineRule="auto"/>
        <w:rPr>
          <w:rFonts w:ascii="Arial" w:hAnsi="Arial" w:cs="Arial"/>
          <w:sz w:val="24"/>
          <w:szCs w:val="24"/>
        </w:rPr>
      </w:pPr>
      <w:r w:rsidRPr="00133CFB">
        <w:rPr>
          <w:rFonts w:ascii="Arial" w:hAnsi="Arial" w:cs="Arial"/>
          <w:sz w:val="24"/>
          <w:szCs w:val="24"/>
        </w:rPr>
        <w:br w:type="page"/>
      </w:r>
    </w:p>
    <w:p w14:paraId="1D815CEA" w14:textId="77777777" w:rsidR="005D76D3" w:rsidRPr="00133CFB" w:rsidRDefault="000C3455" w:rsidP="00143028">
      <w:pPr>
        <w:pStyle w:val="Heading1"/>
      </w:pPr>
      <w:bookmarkStart w:id="4" w:name="_Toc405797897"/>
      <w:bookmarkStart w:id="5" w:name="_Toc403038209"/>
      <w:bookmarkStart w:id="6" w:name="_Toc403051749"/>
      <w:r>
        <w:lastRenderedPageBreak/>
        <w:t xml:space="preserve">The NDS Business Confidence </w:t>
      </w:r>
      <w:r w:rsidR="00C534D6">
        <w:t>Survey</w:t>
      </w:r>
      <w:bookmarkEnd w:id="4"/>
    </w:p>
    <w:p w14:paraId="06D62FD0" w14:textId="77777777" w:rsidR="00D91A20" w:rsidRPr="00133CFB" w:rsidRDefault="00D91A20" w:rsidP="004E7B04">
      <w:pPr>
        <w:rPr>
          <w:rFonts w:ascii="Arial" w:hAnsi="Arial" w:cs="Arial"/>
          <w:sz w:val="24"/>
          <w:szCs w:val="24"/>
        </w:rPr>
      </w:pPr>
      <w:r w:rsidRPr="00133CFB">
        <w:rPr>
          <w:rFonts w:ascii="Arial" w:hAnsi="Arial" w:cs="Arial"/>
          <w:sz w:val="24"/>
          <w:szCs w:val="24"/>
        </w:rPr>
        <w:t>The first wave of th</w:t>
      </w:r>
      <w:r w:rsidR="000C3455">
        <w:rPr>
          <w:rFonts w:ascii="Arial" w:hAnsi="Arial" w:cs="Arial"/>
          <w:sz w:val="24"/>
          <w:szCs w:val="24"/>
        </w:rPr>
        <w:t xml:space="preserve">e NDS Business Confidence </w:t>
      </w:r>
      <w:r w:rsidR="00C534D6">
        <w:rPr>
          <w:rFonts w:ascii="Arial" w:hAnsi="Arial" w:cs="Arial"/>
          <w:sz w:val="24"/>
          <w:szCs w:val="24"/>
        </w:rPr>
        <w:t>Survey</w:t>
      </w:r>
      <w:r w:rsidRPr="00133CFB">
        <w:rPr>
          <w:rFonts w:ascii="Arial" w:hAnsi="Arial" w:cs="Arial"/>
          <w:sz w:val="24"/>
          <w:szCs w:val="24"/>
        </w:rPr>
        <w:t xml:space="preserve"> in May 2014 gave CEOs an opportunity to identify factors that help and constrain them </w:t>
      </w:r>
      <w:r w:rsidR="00AA5853">
        <w:rPr>
          <w:rFonts w:ascii="Arial" w:hAnsi="Arial" w:cs="Arial"/>
          <w:sz w:val="24"/>
          <w:szCs w:val="24"/>
        </w:rPr>
        <w:t>in</w:t>
      </w:r>
      <w:r w:rsidRPr="00133CFB">
        <w:rPr>
          <w:rFonts w:ascii="Arial" w:hAnsi="Arial" w:cs="Arial"/>
          <w:sz w:val="24"/>
          <w:szCs w:val="24"/>
        </w:rPr>
        <w:t xml:space="preserve"> adapting to the new environment. The results create a baseline for measuring the confidence of disability service providers over time. </w:t>
      </w:r>
    </w:p>
    <w:p w14:paraId="61F4F7E2" w14:textId="77777777" w:rsidR="006F7787" w:rsidRDefault="003F170E" w:rsidP="001F094B">
      <w:pPr>
        <w:pStyle w:val="Heading2"/>
      </w:pPr>
      <w:r>
        <w:t>Key findings</w:t>
      </w:r>
      <w:bookmarkStart w:id="7" w:name="_Toc404089903"/>
    </w:p>
    <w:p w14:paraId="0DD67138" w14:textId="77777777" w:rsidR="000C3455" w:rsidRPr="00AA5853" w:rsidRDefault="00953714" w:rsidP="000C3455">
      <w:pPr>
        <w:rPr>
          <w:sz w:val="24"/>
        </w:rPr>
      </w:pPr>
      <w:r>
        <w:rPr>
          <w:rFonts w:ascii="Arial" w:hAnsi="Arial" w:cs="Arial"/>
          <w:sz w:val="24"/>
        </w:rPr>
        <w:t>Not-for-profit</w:t>
      </w:r>
      <w:r w:rsidR="006F7787" w:rsidRPr="00AA5853">
        <w:rPr>
          <w:rFonts w:ascii="Arial" w:hAnsi="Arial" w:cs="Arial"/>
          <w:sz w:val="24"/>
        </w:rPr>
        <w:t xml:space="preserve"> disability organisations told the NDS Business Confidence </w:t>
      </w:r>
      <w:bookmarkEnd w:id="7"/>
      <w:r w:rsidR="00C534D6">
        <w:rPr>
          <w:rFonts w:ascii="Arial" w:hAnsi="Arial" w:cs="Arial"/>
          <w:sz w:val="24"/>
        </w:rPr>
        <w:t>Survey</w:t>
      </w:r>
      <w:r w:rsidR="006F7787" w:rsidRPr="00AA5853">
        <w:rPr>
          <w:rFonts w:ascii="Arial" w:hAnsi="Arial" w:cs="Arial"/>
          <w:sz w:val="24"/>
        </w:rPr>
        <w:t xml:space="preserve"> that:</w:t>
      </w:r>
    </w:p>
    <w:p w14:paraId="76C23C32" w14:textId="77777777" w:rsidR="00B769D3" w:rsidRPr="00EF620A" w:rsidRDefault="005D76D3" w:rsidP="008115DE">
      <w:pPr>
        <w:pStyle w:val="ListParagraph"/>
        <w:numPr>
          <w:ilvl w:val="0"/>
          <w:numId w:val="22"/>
        </w:numPr>
        <w:rPr>
          <w:rFonts w:ascii="Arial" w:hAnsi="Arial" w:cs="Arial"/>
          <w:sz w:val="24"/>
          <w:szCs w:val="24"/>
        </w:rPr>
      </w:pPr>
      <w:r w:rsidRPr="00EF620A">
        <w:rPr>
          <w:rFonts w:ascii="Arial" w:hAnsi="Arial" w:cs="Arial"/>
          <w:sz w:val="24"/>
          <w:szCs w:val="24"/>
        </w:rPr>
        <w:t>competition between pr</w:t>
      </w:r>
      <w:r w:rsidR="000C3455">
        <w:rPr>
          <w:rFonts w:ascii="Arial" w:hAnsi="Arial" w:cs="Arial"/>
          <w:sz w:val="24"/>
          <w:szCs w:val="24"/>
        </w:rPr>
        <w:t xml:space="preserve">oviders </w:t>
      </w:r>
      <w:r w:rsidRPr="00EF620A">
        <w:rPr>
          <w:rFonts w:ascii="Arial" w:hAnsi="Arial" w:cs="Arial"/>
          <w:sz w:val="24"/>
          <w:szCs w:val="24"/>
        </w:rPr>
        <w:t>is increasing</w:t>
      </w:r>
    </w:p>
    <w:p w14:paraId="148C359D" w14:textId="77777777" w:rsidR="005D76D3" w:rsidRPr="00EF620A" w:rsidRDefault="00840893" w:rsidP="008115DE">
      <w:pPr>
        <w:pStyle w:val="ListParagraph"/>
        <w:numPr>
          <w:ilvl w:val="0"/>
          <w:numId w:val="22"/>
        </w:numPr>
        <w:rPr>
          <w:rFonts w:ascii="Arial" w:hAnsi="Arial" w:cs="Arial"/>
          <w:sz w:val="24"/>
          <w:szCs w:val="24"/>
        </w:rPr>
      </w:pPr>
      <w:r w:rsidRPr="00EF620A">
        <w:rPr>
          <w:rFonts w:ascii="Arial" w:hAnsi="Arial" w:cs="Arial"/>
          <w:sz w:val="24"/>
          <w:szCs w:val="24"/>
        </w:rPr>
        <w:t>organisations are joining forces in mergers, consortia and other partnerships</w:t>
      </w:r>
    </w:p>
    <w:p w14:paraId="61F18DCB" w14:textId="77777777" w:rsidR="00ED3DDF" w:rsidRPr="00ED3DDF" w:rsidRDefault="00840893" w:rsidP="008115DE">
      <w:pPr>
        <w:pStyle w:val="ListParagraph"/>
        <w:numPr>
          <w:ilvl w:val="0"/>
          <w:numId w:val="19"/>
        </w:numPr>
        <w:ind w:left="714" w:hanging="357"/>
        <w:rPr>
          <w:rFonts w:ascii="Arial" w:hAnsi="Arial" w:cs="Arial"/>
        </w:rPr>
      </w:pPr>
      <w:r w:rsidRPr="00133CFB">
        <w:rPr>
          <w:rFonts w:ascii="Arial" w:hAnsi="Arial" w:cs="Arial"/>
          <w:sz w:val="24"/>
          <w:szCs w:val="24"/>
        </w:rPr>
        <w:t>only 33% of organisations me</w:t>
      </w:r>
      <w:r w:rsidR="00E53E50">
        <w:rPr>
          <w:rFonts w:ascii="Arial" w:hAnsi="Arial" w:cs="Arial"/>
          <w:sz w:val="24"/>
          <w:szCs w:val="24"/>
        </w:rPr>
        <w:t>e</w:t>
      </w:r>
      <w:r w:rsidRPr="00133CFB">
        <w:rPr>
          <w:rFonts w:ascii="Arial" w:hAnsi="Arial" w:cs="Arial"/>
          <w:sz w:val="24"/>
          <w:szCs w:val="24"/>
        </w:rPr>
        <w:t>t the recommended</w:t>
      </w:r>
      <w:r w:rsidR="006F7787">
        <w:rPr>
          <w:rFonts w:ascii="Arial" w:hAnsi="Arial" w:cs="Arial"/>
          <w:sz w:val="24"/>
          <w:szCs w:val="24"/>
        </w:rPr>
        <w:t xml:space="preserve"> cashflow</w:t>
      </w:r>
      <w:r w:rsidRPr="00133CFB">
        <w:rPr>
          <w:rFonts w:ascii="Arial" w:hAnsi="Arial" w:cs="Arial"/>
          <w:sz w:val="24"/>
          <w:szCs w:val="24"/>
        </w:rPr>
        <w:t xml:space="preserve"> standard of </w:t>
      </w:r>
      <w:r w:rsidR="00AA5853">
        <w:rPr>
          <w:rFonts w:ascii="Arial" w:hAnsi="Arial" w:cs="Arial"/>
          <w:sz w:val="24"/>
          <w:szCs w:val="24"/>
        </w:rPr>
        <w:t>three</w:t>
      </w:r>
      <w:r w:rsidRPr="00133CFB">
        <w:rPr>
          <w:rFonts w:ascii="Arial" w:hAnsi="Arial" w:cs="Arial"/>
          <w:sz w:val="24"/>
          <w:szCs w:val="24"/>
        </w:rPr>
        <w:t xml:space="preserve"> months or more of spending</w:t>
      </w:r>
      <w:r w:rsidR="006F7787">
        <w:rPr>
          <w:rFonts w:ascii="Arial" w:hAnsi="Arial" w:cs="Arial"/>
          <w:sz w:val="24"/>
          <w:szCs w:val="24"/>
        </w:rPr>
        <w:t xml:space="preserve"> rese</w:t>
      </w:r>
      <w:r w:rsidR="00AA5853">
        <w:rPr>
          <w:rFonts w:ascii="Arial" w:hAnsi="Arial" w:cs="Arial"/>
          <w:sz w:val="24"/>
          <w:szCs w:val="24"/>
        </w:rPr>
        <w:t>r</w:t>
      </w:r>
      <w:r w:rsidR="006F7787">
        <w:rPr>
          <w:rFonts w:ascii="Arial" w:hAnsi="Arial" w:cs="Arial"/>
          <w:sz w:val="24"/>
          <w:szCs w:val="24"/>
        </w:rPr>
        <w:t>ves</w:t>
      </w:r>
    </w:p>
    <w:p w14:paraId="0AD982B6" w14:textId="77777777" w:rsidR="00B769D3" w:rsidRPr="00133CFB" w:rsidRDefault="000C3455" w:rsidP="008115DE">
      <w:pPr>
        <w:pStyle w:val="ListParagraph"/>
        <w:numPr>
          <w:ilvl w:val="0"/>
          <w:numId w:val="19"/>
        </w:numPr>
        <w:ind w:left="714" w:hanging="357"/>
        <w:rPr>
          <w:rFonts w:ascii="Arial" w:hAnsi="Arial" w:cs="Arial"/>
        </w:rPr>
      </w:pPr>
      <w:r>
        <w:rPr>
          <w:rFonts w:ascii="Arial" w:hAnsi="Arial" w:cs="Arial"/>
          <w:sz w:val="24"/>
          <w:szCs w:val="24"/>
        </w:rPr>
        <w:t xml:space="preserve">relationships with commercial businesses </w:t>
      </w:r>
      <w:r w:rsidR="00ED3DDF">
        <w:rPr>
          <w:rFonts w:ascii="Arial" w:hAnsi="Arial" w:cs="Arial"/>
          <w:sz w:val="24"/>
          <w:szCs w:val="24"/>
        </w:rPr>
        <w:t>are expected to strengthen</w:t>
      </w:r>
    </w:p>
    <w:p w14:paraId="55782B0D" w14:textId="77777777" w:rsidR="00B769D3" w:rsidRPr="00133CFB" w:rsidRDefault="00840893" w:rsidP="008115DE">
      <w:pPr>
        <w:pStyle w:val="ListParagraph"/>
        <w:numPr>
          <w:ilvl w:val="0"/>
          <w:numId w:val="19"/>
        </w:numPr>
        <w:ind w:left="714" w:hanging="357"/>
        <w:rPr>
          <w:rFonts w:ascii="Arial" w:hAnsi="Arial" w:cs="Arial"/>
        </w:rPr>
      </w:pPr>
      <w:r w:rsidRPr="00133CFB">
        <w:rPr>
          <w:rFonts w:ascii="Arial" w:hAnsi="Arial" w:cs="Arial"/>
          <w:sz w:val="24"/>
          <w:szCs w:val="24"/>
        </w:rPr>
        <w:t>high numbers find the policy environment is uncertain and c</w:t>
      </w:r>
      <w:r w:rsidR="000C3455">
        <w:rPr>
          <w:rFonts w:ascii="Arial" w:hAnsi="Arial" w:cs="Arial"/>
          <w:sz w:val="24"/>
          <w:szCs w:val="24"/>
        </w:rPr>
        <w:t>onfusing, and that government i</w:t>
      </w:r>
      <w:r w:rsidRPr="00133CFB">
        <w:rPr>
          <w:rFonts w:ascii="Arial" w:hAnsi="Arial" w:cs="Arial"/>
          <w:sz w:val="24"/>
          <w:szCs w:val="24"/>
        </w:rPr>
        <w:t>s not anticipatin</w:t>
      </w:r>
      <w:r w:rsidR="00E53E50">
        <w:rPr>
          <w:rFonts w:ascii="Arial" w:hAnsi="Arial" w:cs="Arial"/>
          <w:sz w:val="24"/>
          <w:szCs w:val="24"/>
        </w:rPr>
        <w:t>g or responding to their needs</w:t>
      </w:r>
    </w:p>
    <w:p w14:paraId="7E186EA1" w14:textId="77777777" w:rsidR="00B769D3" w:rsidRPr="00133CFB" w:rsidRDefault="00B769D3" w:rsidP="008115DE">
      <w:pPr>
        <w:pStyle w:val="ListParagraph"/>
        <w:numPr>
          <w:ilvl w:val="0"/>
          <w:numId w:val="19"/>
        </w:numPr>
        <w:ind w:left="714" w:hanging="357"/>
        <w:rPr>
          <w:rFonts w:ascii="Arial" w:hAnsi="Arial" w:cs="Arial"/>
        </w:rPr>
      </w:pPr>
      <w:r w:rsidRPr="00133CFB">
        <w:rPr>
          <w:rFonts w:ascii="Arial" w:hAnsi="Arial" w:cs="Arial"/>
          <w:sz w:val="24"/>
          <w:szCs w:val="24"/>
        </w:rPr>
        <w:t>m</w:t>
      </w:r>
      <w:r w:rsidR="000C3455">
        <w:rPr>
          <w:rFonts w:ascii="Arial" w:hAnsi="Arial" w:cs="Arial"/>
          <w:sz w:val="24"/>
          <w:szCs w:val="24"/>
        </w:rPr>
        <w:t xml:space="preserve">ost </w:t>
      </w:r>
      <w:r w:rsidR="00840893" w:rsidRPr="00133CFB">
        <w:rPr>
          <w:rFonts w:ascii="Arial" w:hAnsi="Arial" w:cs="Arial"/>
          <w:sz w:val="24"/>
          <w:szCs w:val="24"/>
        </w:rPr>
        <w:t>ag</w:t>
      </w:r>
      <w:r w:rsidR="000C3455">
        <w:rPr>
          <w:rFonts w:ascii="Arial" w:hAnsi="Arial" w:cs="Arial"/>
          <w:sz w:val="24"/>
          <w:szCs w:val="24"/>
        </w:rPr>
        <w:t>ree that the policy reforms are</w:t>
      </w:r>
      <w:r w:rsidR="00ED3DDF">
        <w:rPr>
          <w:rFonts w:ascii="Arial" w:hAnsi="Arial" w:cs="Arial"/>
          <w:sz w:val="24"/>
          <w:szCs w:val="24"/>
        </w:rPr>
        <w:t xml:space="preserve"> heading in the right direction</w:t>
      </w:r>
    </w:p>
    <w:p w14:paraId="0A591FB0" w14:textId="77777777" w:rsidR="00B769D3" w:rsidRPr="00133CFB" w:rsidRDefault="000C3455" w:rsidP="008115DE">
      <w:pPr>
        <w:pStyle w:val="ListParagraph"/>
        <w:numPr>
          <w:ilvl w:val="0"/>
          <w:numId w:val="19"/>
        </w:numPr>
        <w:ind w:left="714" w:hanging="357"/>
        <w:rPr>
          <w:rFonts w:ascii="Arial" w:hAnsi="Arial" w:cs="Arial"/>
        </w:rPr>
      </w:pPr>
      <w:r>
        <w:rPr>
          <w:rFonts w:ascii="Arial" w:hAnsi="Arial" w:cs="Arial"/>
          <w:sz w:val="24"/>
          <w:szCs w:val="24"/>
        </w:rPr>
        <w:t>half lack</w:t>
      </w:r>
      <w:r w:rsidR="00B769D3" w:rsidRPr="00133CFB">
        <w:rPr>
          <w:rFonts w:ascii="Arial" w:hAnsi="Arial" w:cs="Arial"/>
          <w:sz w:val="24"/>
          <w:szCs w:val="24"/>
        </w:rPr>
        <w:t xml:space="preserve"> the internal capacity </w:t>
      </w:r>
      <w:r w:rsidR="00413519">
        <w:rPr>
          <w:rFonts w:ascii="Arial" w:hAnsi="Arial" w:cs="Arial"/>
          <w:sz w:val="24"/>
          <w:szCs w:val="24"/>
        </w:rPr>
        <w:t>or</w:t>
      </w:r>
      <w:r w:rsidR="00ED3DDF">
        <w:rPr>
          <w:rFonts w:ascii="Arial" w:hAnsi="Arial" w:cs="Arial"/>
          <w:sz w:val="24"/>
          <w:szCs w:val="24"/>
        </w:rPr>
        <w:t xml:space="preserve"> ICT need to improve services</w:t>
      </w:r>
    </w:p>
    <w:p w14:paraId="18214688" w14:textId="77777777" w:rsidR="00CE521F" w:rsidRPr="009F76FA" w:rsidRDefault="000C3455" w:rsidP="009F76FA">
      <w:pPr>
        <w:pStyle w:val="ListParagraph"/>
        <w:numPr>
          <w:ilvl w:val="0"/>
          <w:numId w:val="19"/>
        </w:numPr>
        <w:ind w:left="714" w:hanging="357"/>
        <w:contextualSpacing w:val="0"/>
        <w:rPr>
          <w:rFonts w:ascii="Arial" w:hAnsi="Arial" w:cs="Arial"/>
        </w:rPr>
      </w:pPr>
      <w:r>
        <w:rPr>
          <w:rFonts w:ascii="Arial" w:hAnsi="Arial" w:cs="Arial"/>
          <w:sz w:val="24"/>
          <w:szCs w:val="24"/>
        </w:rPr>
        <w:t>most have</w:t>
      </w:r>
      <w:r w:rsidR="00B769D3" w:rsidRPr="00133CFB">
        <w:rPr>
          <w:rFonts w:ascii="Arial" w:hAnsi="Arial" w:cs="Arial"/>
          <w:sz w:val="24"/>
          <w:szCs w:val="24"/>
        </w:rPr>
        <w:t xml:space="preserve"> difficulty recruiting leaders and managers, </w:t>
      </w:r>
      <w:r>
        <w:rPr>
          <w:rFonts w:ascii="Arial" w:hAnsi="Arial" w:cs="Arial"/>
          <w:sz w:val="24"/>
          <w:szCs w:val="24"/>
        </w:rPr>
        <w:t>but not in retaining them</w:t>
      </w:r>
      <w:r w:rsidR="00B769D3" w:rsidRPr="00133CFB">
        <w:rPr>
          <w:rFonts w:ascii="Arial" w:hAnsi="Arial" w:cs="Arial"/>
          <w:sz w:val="24"/>
          <w:szCs w:val="24"/>
        </w:rPr>
        <w:t>.</w:t>
      </w:r>
      <w:bookmarkStart w:id="8" w:name="_Toc402532472"/>
      <w:bookmarkStart w:id="9" w:name="_Toc402940520"/>
      <w:bookmarkStart w:id="10" w:name="_Toc403038210"/>
      <w:bookmarkStart w:id="11" w:name="_Toc403043411"/>
      <w:bookmarkStart w:id="12" w:name="_Toc403043495"/>
      <w:bookmarkStart w:id="13" w:name="_Toc403043579"/>
      <w:bookmarkStart w:id="14" w:name="_Toc403043669"/>
      <w:bookmarkStart w:id="15" w:name="_Toc403047775"/>
      <w:bookmarkStart w:id="16" w:name="_Toc403051750"/>
      <w:bookmarkStart w:id="17" w:name="_Toc403318283"/>
      <w:bookmarkStart w:id="18" w:name="_Toc403318354"/>
      <w:bookmarkStart w:id="19" w:name="_Toc403318387"/>
      <w:bookmarkStart w:id="20" w:name="_Toc403319794"/>
      <w:bookmarkStart w:id="21" w:name="_Toc403319850"/>
      <w:bookmarkStart w:id="22" w:name="_Toc403332077"/>
      <w:bookmarkStart w:id="23" w:name="_Toc403895962"/>
      <w:bookmarkStart w:id="24" w:name="_Toc403896029"/>
      <w:bookmarkStart w:id="25" w:name="_Toc403897061"/>
      <w:bookmarkStart w:id="26" w:name="_Toc403900476"/>
      <w:bookmarkStart w:id="27" w:name="_Toc403900575"/>
      <w:bookmarkStart w:id="28" w:name="_Toc403900647"/>
      <w:bookmarkStart w:id="29" w:name="_Toc403900949"/>
      <w:bookmarkStart w:id="30" w:name="_Toc404000284"/>
      <w:bookmarkStart w:id="31" w:name="_Toc404000376"/>
      <w:bookmarkStart w:id="32" w:name="_Toc404000563"/>
      <w:bookmarkStart w:id="33" w:name="_Toc404000629"/>
      <w:bookmarkStart w:id="34" w:name="_Toc404089595"/>
      <w:bookmarkStart w:id="35" w:name="_Toc404089660"/>
      <w:bookmarkStart w:id="36" w:name="_Toc404089726"/>
      <w:bookmarkStart w:id="37" w:name="_Toc404089840"/>
      <w:bookmarkStart w:id="38" w:name="_Toc404089904"/>
      <w:bookmarkStart w:id="39" w:name="_Toc404255251"/>
      <w:bookmarkStart w:id="40" w:name="_Toc404255316"/>
      <w:bookmarkStart w:id="41" w:name="_Toc404255409"/>
      <w:bookmarkEnd w:id="5"/>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F9B8D99" w14:textId="77777777" w:rsidR="00CE521F" w:rsidRPr="00133CFB" w:rsidRDefault="00CE521F" w:rsidP="007D661E">
      <w:pPr>
        <w:pStyle w:val="Heading1"/>
      </w:pPr>
      <w:bookmarkStart w:id="42" w:name="_Toc403038212"/>
      <w:bookmarkStart w:id="43" w:name="_Toc403051752"/>
      <w:bookmarkStart w:id="44" w:name="_Toc404089905"/>
      <w:bookmarkStart w:id="45" w:name="_Toc405797898"/>
      <w:r w:rsidRPr="00133CFB">
        <w:t xml:space="preserve">What have we learned from the first wave of the NDS Business Confidence </w:t>
      </w:r>
      <w:r w:rsidR="00C534D6">
        <w:t>Survey</w:t>
      </w:r>
      <w:r w:rsidRPr="00133CFB">
        <w:t>?</w:t>
      </w:r>
      <w:bookmarkEnd w:id="42"/>
      <w:bookmarkEnd w:id="43"/>
      <w:bookmarkEnd w:id="44"/>
      <w:bookmarkEnd w:id="45"/>
    </w:p>
    <w:p w14:paraId="1D93F748" w14:textId="77777777" w:rsidR="00CE521F" w:rsidRPr="00133CFB" w:rsidRDefault="00CE521F" w:rsidP="001F094B">
      <w:pPr>
        <w:pStyle w:val="Heading2"/>
      </w:pPr>
      <w:bookmarkStart w:id="46" w:name="_Toc403038213"/>
      <w:bookmarkStart w:id="47" w:name="_Toc404089906"/>
      <w:r w:rsidRPr="00133CFB">
        <w:t>Performance and confidence overall</w:t>
      </w:r>
      <w:bookmarkEnd w:id="46"/>
      <w:bookmarkEnd w:id="47"/>
    </w:p>
    <w:p w14:paraId="508250AF" w14:textId="77777777" w:rsidR="00CE521F" w:rsidRPr="00ED3DDF" w:rsidRDefault="00ED3DDF" w:rsidP="00447F2C">
      <w:pPr>
        <w:pStyle w:val="Subtitle"/>
      </w:pPr>
      <w:r>
        <w:t xml:space="preserve">Figure </w:t>
      </w:r>
      <w:r w:rsidR="00E86B36">
        <w:t>3</w:t>
      </w:r>
      <w:r w:rsidR="00CE521F" w:rsidRPr="00ED3DDF">
        <w:t xml:space="preserve">: </w:t>
      </w:r>
      <w:r>
        <w:t>levels of performance and confidence</w:t>
      </w:r>
    </w:p>
    <w:p w14:paraId="325E2703" w14:textId="77777777" w:rsidR="008E15ED" w:rsidRPr="00133CFB" w:rsidRDefault="00CE521F" w:rsidP="004E7B04">
      <w:pPr>
        <w:rPr>
          <w:rFonts w:ascii="Arial" w:hAnsi="Arial" w:cs="Arial"/>
          <w:sz w:val="24"/>
          <w:szCs w:val="24"/>
        </w:rPr>
      </w:pPr>
      <w:r w:rsidRPr="00133CFB">
        <w:rPr>
          <w:rFonts w:ascii="Arial" w:hAnsi="Arial" w:cs="Arial"/>
          <w:noProof/>
          <w:lang w:eastAsia="en-AU"/>
        </w:rPr>
        <w:drawing>
          <wp:inline distT="0" distB="0" distL="0" distR="0" wp14:anchorId="1F8ABECB" wp14:editId="28C63B11">
            <wp:extent cx="4302369" cy="2114395"/>
            <wp:effectExtent l="19050" t="19050" r="22225" b="19685"/>
            <wp:docPr id="1" name="Picture 1" descr="A chart with two bars. The first shows that over the next six months, 18 per cent of the 369 organisations that responded to this question believed that they would exceed their objectives; 44 per cent that they would meet all objectives; five per cent that they would meet most objectives; and one per cent that they would not meet any objectives.&#10;The second bar shows that over the past six months, 22 per cent of the 373 organisations that responded to this question believed that they had exceeded their objectives; 30 per cent that they had met all their objectives; 38 per cent that they had met most objectives; nine per cent that they had met some objectives; and one per cent that they had not met any of their objectives." title="Figure 3: levels of performance and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335"/>
                    <a:stretch/>
                  </pic:blipFill>
                  <pic:spPr bwMode="auto">
                    <a:xfrm>
                      <a:off x="0" y="0"/>
                      <a:ext cx="4309419" cy="2117860"/>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610B64F8" w14:textId="77777777" w:rsidR="00AA5853" w:rsidRDefault="009330AB">
      <w:pPr>
        <w:rPr>
          <w:rFonts w:ascii="Arial" w:eastAsiaTheme="majorEastAsia" w:hAnsi="Arial" w:cs="Arial"/>
          <w:b/>
          <w:bCs/>
          <w:sz w:val="26"/>
          <w:szCs w:val="26"/>
        </w:rPr>
      </w:pPr>
      <w:r>
        <w:rPr>
          <w:rFonts w:ascii="Arial" w:hAnsi="Arial" w:cs="Arial"/>
          <w:sz w:val="24"/>
          <w:szCs w:val="24"/>
        </w:rPr>
        <w:t xml:space="preserve">Despite </w:t>
      </w:r>
      <w:r w:rsidR="00C534D6">
        <w:rPr>
          <w:rFonts w:ascii="Arial" w:hAnsi="Arial" w:cs="Arial"/>
          <w:sz w:val="24"/>
          <w:szCs w:val="24"/>
        </w:rPr>
        <w:t>high level</w:t>
      </w:r>
      <w:r>
        <w:rPr>
          <w:rFonts w:ascii="Arial" w:hAnsi="Arial" w:cs="Arial"/>
          <w:sz w:val="24"/>
          <w:szCs w:val="24"/>
        </w:rPr>
        <w:t>s</w:t>
      </w:r>
      <w:r w:rsidR="00C534D6">
        <w:rPr>
          <w:rFonts w:ascii="Arial" w:hAnsi="Arial" w:cs="Arial"/>
          <w:sz w:val="24"/>
          <w:szCs w:val="24"/>
        </w:rPr>
        <w:t xml:space="preserve"> of confidence in meeting objectives (Figure 3), </w:t>
      </w:r>
      <w:r w:rsidR="00413519">
        <w:rPr>
          <w:rFonts w:ascii="Arial" w:hAnsi="Arial" w:cs="Arial"/>
          <w:sz w:val="24"/>
          <w:szCs w:val="24"/>
        </w:rPr>
        <w:t xml:space="preserve">40% of </w:t>
      </w:r>
      <w:r w:rsidR="00CE521F" w:rsidRPr="00133CFB">
        <w:rPr>
          <w:rFonts w:ascii="Arial" w:hAnsi="Arial" w:cs="Arial"/>
          <w:sz w:val="24"/>
          <w:szCs w:val="24"/>
        </w:rPr>
        <w:t>r</w:t>
      </w:r>
      <w:r w:rsidR="00AA5853">
        <w:rPr>
          <w:rFonts w:ascii="Arial" w:hAnsi="Arial" w:cs="Arial"/>
          <w:sz w:val="24"/>
          <w:szCs w:val="24"/>
        </w:rPr>
        <w:t>esponding organisations report</w:t>
      </w:r>
      <w:r w:rsidR="00CE521F" w:rsidRPr="00133CFB">
        <w:rPr>
          <w:rFonts w:ascii="Arial" w:hAnsi="Arial" w:cs="Arial"/>
          <w:sz w:val="24"/>
          <w:szCs w:val="24"/>
        </w:rPr>
        <w:t xml:space="preserve"> insufficient financial resources over the past six </w:t>
      </w:r>
      <w:r w:rsidR="00CE521F" w:rsidRPr="00133CFB">
        <w:rPr>
          <w:rFonts w:ascii="Arial" w:hAnsi="Arial" w:cs="Arial"/>
          <w:sz w:val="24"/>
          <w:szCs w:val="24"/>
        </w:rPr>
        <w:lastRenderedPageBreak/>
        <w:t>months, and a l</w:t>
      </w:r>
      <w:r w:rsidR="00AA5853">
        <w:rPr>
          <w:rFonts w:ascii="Arial" w:hAnsi="Arial" w:cs="Arial"/>
          <w:sz w:val="24"/>
          <w:szCs w:val="24"/>
        </w:rPr>
        <w:t>arger proportion (45%) expect</w:t>
      </w:r>
      <w:r w:rsidR="00CE521F" w:rsidRPr="00133CFB">
        <w:rPr>
          <w:rFonts w:ascii="Arial" w:hAnsi="Arial" w:cs="Arial"/>
          <w:sz w:val="24"/>
          <w:szCs w:val="24"/>
        </w:rPr>
        <w:t xml:space="preserve"> to have insufficient financial res</w:t>
      </w:r>
      <w:r w:rsidR="00AA5853">
        <w:rPr>
          <w:rFonts w:ascii="Arial" w:hAnsi="Arial" w:cs="Arial"/>
          <w:sz w:val="24"/>
          <w:szCs w:val="24"/>
        </w:rPr>
        <w:t>ources over the next six months.</w:t>
      </w:r>
      <w:bookmarkStart w:id="48" w:name="_Toc403038214"/>
      <w:bookmarkStart w:id="49" w:name="_Toc404089907"/>
    </w:p>
    <w:p w14:paraId="0D2D77DB" w14:textId="77777777" w:rsidR="00CE521F" w:rsidRPr="00133CFB" w:rsidRDefault="00CE521F" w:rsidP="001F094B">
      <w:pPr>
        <w:pStyle w:val="Heading2"/>
      </w:pPr>
      <w:r w:rsidRPr="00133CFB">
        <w:t>Increasing demand and strategies for growth</w:t>
      </w:r>
      <w:bookmarkEnd w:id="48"/>
      <w:bookmarkEnd w:id="49"/>
    </w:p>
    <w:p w14:paraId="245BC668" w14:textId="77777777" w:rsidR="00CE521F" w:rsidRPr="00133CFB" w:rsidRDefault="00CE521F" w:rsidP="004E7B04">
      <w:pPr>
        <w:rPr>
          <w:rFonts w:ascii="Arial" w:hAnsi="Arial" w:cs="Arial"/>
          <w:sz w:val="24"/>
          <w:szCs w:val="24"/>
        </w:rPr>
      </w:pPr>
      <w:r w:rsidRPr="00133CFB">
        <w:rPr>
          <w:rFonts w:ascii="Arial" w:hAnsi="Arial" w:cs="Arial"/>
          <w:sz w:val="24"/>
          <w:szCs w:val="24"/>
        </w:rPr>
        <w:t>Tw</w:t>
      </w:r>
      <w:r w:rsidR="00AA5853">
        <w:rPr>
          <w:rFonts w:ascii="Arial" w:hAnsi="Arial" w:cs="Arial"/>
          <w:sz w:val="24"/>
          <w:szCs w:val="24"/>
        </w:rPr>
        <w:t>o thirds of respondents report</w:t>
      </w:r>
      <w:r w:rsidRPr="00133CFB">
        <w:rPr>
          <w:rFonts w:ascii="Arial" w:hAnsi="Arial" w:cs="Arial"/>
          <w:sz w:val="24"/>
          <w:szCs w:val="24"/>
        </w:rPr>
        <w:t xml:space="preserve"> an increase in demand over the past six months, with more than three quarters (78%) expecting demand to increase over the next six months.</w:t>
      </w:r>
    </w:p>
    <w:p w14:paraId="6FD73FF2" w14:textId="77777777" w:rsidR="00CE521F" w:rsidRPr="00133CFB" w:rsidRDefault="00CE521F" w:rsidP="004E7B04">
      <w:pPr>
        <w:ind w:left="720"/>
        <w:rPr>
          <w:rFonts w:ascii="Arial" w:hAnsi="Arial" w:cs="Arial"/>
          <w:sz w:val="24"/>
          <w:szCs w:val="24"/>
        </w:rPr>
      </w:pPr>
      <w:r w:rsidRPr="00133CFB">
        <w:rPr>
          <w:rFonts w:ascii="Arial" w:hAnsi="Arial" w:cs="Arial"/>
          <w:sz w:val="24"/>
          <w:szCs w:val="24"/>
        </w:rPr>
        <w:t>“We have experienced an increase in client numbers beyond expectation, due to new diagnoses and people living longer and so requiring longer</w:t>
      </w:r>
      <w:r w:rsidR="00AA5853">
        <w:rPr>
          <w:rFonts w:ascii="Arial" w:hAnsi="Arial" w:cs="Arial"/>
          <w:sz w:val="24"/>
          <w:szCs w:val="24"/>
        </w:rPr>
        <w:t>-</w:t>
      </w:r>
      <w:r w:rsidRPr="00133CFB">
        <w:rPr>
          <w:rFonts w:ascii="Arial" w:hAnsi="Arial" w:cs="Arial"/>
          <w:sz w:val="24"/>
          <w:szCs w:val="24"/>
        </w:rPr>
        <w:t>ter</w:t>
      </w:r>
      <w:r w:rsidR="003F170E">
        <w:rPr>
          <w:rFonts w:ascii="Arial" w:hAnsi="Arial" w:cs="Arial"/>
          <w:sz w:val="24"/>
          <w:szCs w:val="24"/>
        </w:rPr>
        <w:t xml:space="preserve">m support.” – Provider </w:t>
      </w:r>
      <w:r w:rsidR="009514CE">
        <w:rPr>
          <w:rFonts w:ascii="Arial" w:hAnsi="Arial" w:cs="Arial"/>
          <w:sz w:val="24"/>
          <w:szCs w:val="24"/>
        </w:rPr>
        <w:t>in</w:t>
      </w:r>
      <w:r w:rsidR="003F170E">
        <w:rPr>
          <w:rFonts w:ascii="Arial" w:hAnsi="Arial" w:cs="Arial"/>
          <w:sz w:val="24"/>
          <w:szCs w:val="24"/>
        </w:rPr>
        <w:t xml:space="preserve"> Tasmania</w:t>
      </w:r>
    </w:p>
    <w:p w14:paraId="2FBD21A6" w14:textId="77777777" w:rsidR="00CE521F" w:rsidRPr="00ED3DDF" w:rsidRDefault="00E54DA4" w:rsidP="00447F2C">
      <w:pPr>
        <w:pStyle w:val="Subtitle"/>
      </w:pPr>
      <w:r>
        <w:t xml:space="preserve">Figure </w:t>
      </w:r>
      <w:r w:rsidR="00E86B36">
        <w:t>4</w:t>
      </w:r>
      <w:r w:rsidR="008E15ED" w:rsidRPr="00ED3DDF">
        <w:t xml:space="preserve">: </w:t>
      </w:r>
      <w:r w:rsidR="00ED3DDF" w:rsidRPr="00ED3DDF">
        <w:t>g</w:t>
      </w:r>
      <w:r w:rsidR="008E15ED" w:rsidRPr="00ED3DDF">
        <w:t>rowth strategies</w:t>
      </w:r>
    </w:p>
    <w:p w14:paraId="05C0A52A" w14:textId="77777777" w:rsidR="00CE521F" w:rsidRPr="00133CFB" w:rsidRDefault="00CE521F" w:rsidP="004E7B04">
      <w:pPr>
        <w:rPr>
          <w:rFonts w:ascii="Arial" w:hAnsi="Arial" w:cs="Arial"/>
          <w:sz w:val="24"/>
          <w:szCs w:val="24"/>
          <w:highlight w:val="yellow"/>
        </w:rPr>
      </w:pPr>
      <w:r w:rsidRPr="00133CFB">
        <w:rPr>
          <w:rFonts w:ascii="Arial" w:hAnsi="Arial" w:cs="Arial"/>
          <w:noProof/>
          <w:sz w:val="24"/>
          <w:szCs w:val="24"/>
          <w:lang w:eastAsia="en-AU"/>
        </w:rPr>
        <w:drawing>
          <wp:inline distT="0" distB="0" distL="0" distR="0" wp14:anchorId="57D4C32E" wp14:editId="1850AAE8">
            <wp:extent cx="5699660" cy="2720340"/>
            <wp:effectExtent l="19050" t="19050" r="15875" b="22860"/>
            <wp:docPr id="2" name="Picture 2" descr="A bar chart showing results for three questions. The first shows that 46 per cent of respondents to the NDS Business Confidence Survey had increased the scale of their existing services in the past six months, while 68 per cent expected to increase their services in the following six months. &#10;The second shows that 42 per cent of respondents had increased the range of their services in the past six months, while 63 per cent expected to increase this in the following six months. &#10;The third shows that 35 per cent of respondents had increased the range of their client groups over the past six months, while 52 per cent expected to do so over the following six months. &#10;The number of respondents that answered the ‘past 6 months’ questions ranged from 387 to 392. The number of respondents that answered the ‘next 6 months’ questions ranged from 371 to 381." title="Figure 4: growth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772"/>
                    <a:stretch/>
                  </pic:blipFill>
                  <pic:spPr bwMode="auto">
                    <a:xfrm>
                      <a:off x="0" y="0"/>
                      <a:ext cx="5755127" cy="2746813"/>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4A8CF727" w14:textId="77777777" w:rsidR="00CE521F" w:rsidRPr="00133CFB" w:rsidRDefault="00CE521F" w:rsidP="004E7B04">
      <w:pPr>
        <w:rPr>
          <w:rFonts w:ascii="Arial" w:hAnsi="Arial" w:cs="Arial"/>
          <w:sz w:val="24"/>
          <w:szCs w:val="24"/>
        </w:rPr>
      </w:pPr>
      <w:r w:rsidRPr="00133CFB">
        <w:rPr>
          <w:rFonts w:ascii="Arial" w:hAnsi="Arial" w:cs="Arial"/>
          <w:sz w:val="24"/>
          <w:szCs w:val="24"/>
        </w:rPr>
        <w:t xml:space="preserve">Seven </w:t>
      </w:r>
      <w:r w:rsidR="00AA5853">
        <w:rPr>
          <w:rFonts w:ascii="Arial" w:hAnsi="Arial" w:cs="Arial"/>
          <w:sz w:val="24"/>
          <w:szCs w:val="24"/>
        </w:rPr>
        <w:t>in 10 (71%) respondents say</w:t>
      </w:r>
      <w:r w:rsidRPr="00133CFB">
        <w:rPr>
          <w:rFonts w:ascii="Arial" w:hAnsi="Arial" w:cs="Arial"/>
          <w:sz w:val="24"/>
          <w:szCs w:val="24"/>
        </w:rPr>
        <w:t xml:space="preserve"> </w:t>
      </w:r>
      <w:r w:rsidR="00AA5853">
        <w:rPr>
          <w:rFonts w:ascii="Arial" w:hAnsi="Arial" w:cs="Arial"/>
          <w:sz w:val="24"/>
          <w:szCs w:val="24"/>
        </w:rPr>
        <w:t xml:space="preserve">they are </w:t>
      </w:r>
      <w:r w:rsidRPr="00133CFB">
        <w:rPr>
          <w:rFonts w:ascii="Arial" w:hAnsi="Arial" w:cs="Arial"/>
          <w:sz w:val="24"/>
          <w:szCs w:val="24"/>
        </w:rPr>
        <w:t xml:space="preserve">looking to increase their level of investment to achieve growth. However, this investment will mostly be through use of existing resources, with two thirds (65%) stating that they will not be looking to use debt/loan to finance growth and/or change strategy. </w:t>
      </w:r>
    </w:p>
    <w:p w14:paraId="1CF2642B" w14:textId="77777777" w:rsidR="008E15ED" w:rsidRPr="00133CFB" w:rsidRDefault="00CE521F" w:rsidP="00ED3DDF">
      <w:pPr>
        <w:ind w:left="720"/>
        <w:rPr>
          <w:rFonts w:ascii="Arial" w:hAnsi="Arial" w:cs="Arial"/>
          <w:sz w:val="24"/>
          <w:szCs w:val="24"/>
        </w:rPr>
      </w:pPr>
      <w:r w:rsidRPr="00133CFB">
        <w:rPr>
          <w:rFonts w:ascii="Arial" w:hAnsi="Arial" w:cs="Arial"/>
          <w:sz w:val="24"/>
          <w:szCs w:val="24"/>
        </w:rPr>
        <w:t>“We have already invested in capital works to prepare our organisation for the next stage of our growth</w:t>
      </w:r>
      <w:r w:rsidR="00AA5853">
        <w:rPr>
          <w:rFonts w:ascii="Arial" w:hAnsi="Arial" w:cs="Arial"/>
          <w:sz w:val="24"/>
          <w:szCs w:val="24"/>
        </w:rPr>
        <w:t>,</w:t>
      </w:r>
      <w:r w:rsidRPr="00133CFB">
        <w:rPr>
          <w:rFonts w:ascii="Arial" w:hAnsi="Arial" w:cs="Arial"/>
          <w:sz w:val="24"/>
          <w:szCs w:val="24"/>
        </w:rPr>
        <w:t xml:space="preserve"> and see the future growth as something we need to plan carefully for in order to take advantage of the possibilities presented by the changing sector.” – Provider </w:t>
      </w:r>
      <w:r w:rsidR="009514CE">
        <w:rPr>
          <w:rFonts w:ascii="Arial" w:hAnsi="Arial" w:cs="Arial"/>
          <w:sz w:val="24"/>
          <w:szCs w:val="24"/>
        </w:rPr>
        <w:t>in</w:t>
      </w:r>
      <w:r w:rsidRPr="00133CFB">
        <w:rPr>
          <w:rFonts w:ascii="Arial" w:hAnsi="Arial" w:cs="Arial"/>
          <w:sz w:val="24"/>
          <w:szCs w:val="24"/>
        </w:rPr>
        <w:t xml:space="preserve"> NSW</w:t>
      </w:r>
    </w:p>
    <w:p w14:paraId="19F986A9" w14:textId="77777777" w:rsidR="00CE521F" w:rsidRPr="00133CFB" w:rsidRDefault="00413519" w:rsidP="004E7B04">
      <w:pPr>
        <w:spacing w:before="240"/>
        <w:rPr>
          <w:rFonts w:ascii="Arial" w:hAnsi="Arial" w:cs="Arial"/>
          <w:sz w:val="24"/>
          <w:szCs w:val="24"/>
        </w:rPr>
      </w:pPr>
      <w:r>
        <w:rPr>
          <w:rFonts w:ascii="Arial" w:hAnsi="Arial" w:cs="Arial"/>
          <w:sz w:val="24"/>
          <w:szCs w:val="24"/>
        </w:rPr>
        <w:t>Twelve per cent of</w:t>
      </w:r>
      <w:r w:rsidR="00CE521F" w:rsidRPr="00133CFB">
        <w:rPr>
          <w:rFonts w:ascii="Arial" w:hAnsi="Arial" w:cs="Arial"/>
          <w:sz w:val="24"/>
          <w:szCs w:val="24"/>
        </w:rPr>
        <w:t xml:space="preserve"> organisations </w:t>
      </w:r>
      <w:r w:rsidR="00AA5853">
        <w:rPr>
          <w:rFonts w:ascii="Arial" w:hAnsi="Arial" w:cs="Arial"/>
          <w:sz w:val="24"/>
          <w:szCs w:val="24"/>
        </w:rPr>
        <w:t>are</w:t>
      </w:r>
      <w:r w:rsidR="00CE521F" w:rsidRPr="00133CFB">
        <w:rPr>
          <w:rFonts w:ascii="Arial" w:hAnsi="Arial" w:cs="Arial"/>
          <w:sz w:val="24"/>
          <w:szCs w:val="24"/>
        </w:rPr>
        <w:t xml:space="preserve"> not focused on growth. </w:t>
      </w:r>
    </w:p>
    <w:p w14:paraId="14AFCE59" w14:textId="77777777" w:rsidR="00CE521F" w:rsidRDefault="00CE521F" w:rsidP="004E7B04">
      <w:pPr>
        <w:ind w:left="720"/>
        <w:rPr>
          <w:rFonts w:ascii="Arial" w:hAnsi="Arial" w:cs="Arial"/>
          <w:sz w:val="24"/>
          <w:szCs w:val="24"/>
        </w:rPr>
      </w:pPr>
      <w:r w:rsidRPr="00133CFB">
        <w:rPr>
          <w:rFonts w:ascii="Arial" w:hAnsi="Arial" w:cs="Arial"/>
          <w:sz w:val="24"/>
          <w:szCs w:val="24"/>
        </w:rPr>
        <w:t>“There remains a significant unmet need in the community; and that is in a context of very little new funding actually rolling out to meet those needs (other than the NDIS ex</w:t>
      </w:r>
      <w:r w:rsidR="00413519">
        <w:rPr>
          <w:rFonts w:ascii="Arial" w:hAnsi="Arial" w:cs="Arial"/>
          <w:sz w:val="24"/>
          <w:szCs w:val="24"/>
        </w:rPr>
        <w:t>p</w:t>
      </w:r>
      <w:r w:rsidR="003F170E">
        <w:rPr>
          <w:rFonts w:ascii="Arial" w:hAnsi="Arial" w:cs="Arial"/>
          <w:sz w:val="24"/>
          <w:szCs w:val="24"/>
        </w:rPr>
        <w:t>eriment).” – Provider in</w:t>
      </w:r>
      <w:r w:rsidR="00413519">
        <w:rPr>
          <w:rFonts w:ascii="Arial" w:hAnsi="Arial" w:cs="Arial"/>
          <w:sz w:val="24"/>
          <w:szCs w:val="24"/>
        </w:rPr>
        <w:t xml:space="preserve"> </w:t>
      </w:r>
      <w:r w:rsidR="009514CE">
        <w:rPr>
          <w:rFonts w:ascii="Arial" w:hAnsi="Arial" w:cs="Arial"/>
          <w:sz w:val="24"/>
          <w:szCs w:val="24"/>
        </w:rPr>
        <w:t>Queensland</w:t>
      </w:r>
    </w:p>
    <w:p w14:paraId="378BF4B7" w14:textId="77777777" w:rsidR="007C3956" w:rsidRPr="00133CFB" w:rsidRDefault="007C3956" w:rsidP="007C3956">
      <w:pPr>
        <w:rPr>
          <w:rFonts w:ascii="Arial" w:hAnsi="Arial" w:cs="Arial"/>
          <w:sz w:val="24"/>
          <w:szCs w:val="24"/>
        </w:rPr>
      </w:pPr>
      <w:r>
        <w:rPr>
          <w:rFonts w:ascii="Arial" w:hAnsi="Arial" w:cs="Arial"/>
          <w:sz w:val="24"/>
          <w:szCs w:val="24"/>
        </w:rPr>
        <w:t>Figure 4 shows survey respondents’ growth strategies.</w:t>
      </w:r>
    </w:p>
    <w:p w14:paraId="0F37D5CB" w14:textId="77777777" w:rsidR="00CE521F" w:rsidRPr="00133CFB" w:rsidRDefault="00CE521F" w:rsidP="001F094B">
      <w:pPr>
        <w:pStyle w:val="Heading2"/>
      </w:pPr>
      <w:bookmarkStart w:id="50" w:name="_Toc404089908"/>
      <w:r w:rsidRPr="00133CFB">
        <w:lastRenderedPageBreak/>
        <w:t>Increasing competition and collaboration</w:t>
      </w:r>
      <w:bookmarkEnd w:id="50"/>
    </w:p>
    <w:p w14:paraId="6C1180E5" w14:textId="77777777" w:rsidR="00CE521F" w:rsidRPr="00133CFB" w:rsidRDefault="00CE521F" w:rsidP="004E7B04">
      <w:pPr>
        <w:rPr>
          <w:rFonts w:ascii="Arial" w:hAnsi="Arial" w:cs="Arial"/>
          <w:sz w:val="24"/>
          <w:szCs w:val="24"/>
        </w:rPr>
      </w:pPr>
      <w:r w:rsidRPr="00133CFB">
        <w:rPr>
          <w:rFonts w:ascii="Arial" w:hAnsi="Arial" w:cs="Arial"/>
          <w:sz w:val="24"/>
          <w:szCs w:val="24"/>
        </w:rPr>
        <w:t>The reported increase</w:t>
      </w:r>
      <w:r w:rsidR="00C87873">
        <w:rPr>
          <w:rFonts w:ascii="Arial" w:hAnsi="Arial" w:cs="Arial"/>
          <w:sz w:val="24"/>
          <w:szCs w:val="24"/>
        </w:rPr>
        <w:t>s</w:t>
      </w:r>
      <w:r w:rsidRPr="00133CFB">
        <w:rPr>
          <w:rFonts w:ascii="Arial" w:hAnsi="Arial" w:cs="Arial"/>
          <w:sz w:val="24"/>
          <w:szCs w:val="24"/>
        </w:rPr>
        <w:t xml:space="preserve"> in demand and adoption of growth strategies </w:t>
      </w:r>
      <w:r w:rsidR="003E7DC8">
        <w:rPr>
          <w:rFonts w:ascii="Arial" w:hAnsi="Arial" w:cs="Arial"/>
          <w:sz w:val="24"/>
          <w:szCs w:val="24"/>
        </w:rPr>
        <w:t>are</w:t>
      </w:r>
      <w:r w:rsidRPr="00133CFB">
        <w:rPr>
          <w:rFonts w:ascii="Arial" w:hAnsi="Arial" w:cs="Arial"/>
          <w:sz w:val="24"/>
          <w:szCs w:val="24"/>
        </w:rPr>
        <w:t xml:space="preserve"> matched by respondents </w:t>
      </w:r>
      <w:r w:rsidR="00D24B91">
        <w:rPr>
          <w:rFonts w:ascii="Arial" w:hAnsi="Arial" w:cs="Arial"/>
          <w:sz w:val="24"/>
          <w:szCs w:val="24"/>
        </w:rPr>
        <w:t>expecting</w:t>
      </w:r>
      <w:r w:rsidRPr="00133CFB">
        <w:rPr>
          <w:rFonts w:ascii="Arial" w:hAnsi="Arial" w:cs="Arial"/>
          <w:sz w:val="24"/>
          <w:szCs w:val="24"/>
        </w:rPr>
        <w:t xml:space="preserve"> growing competition</w:t>
      </w:r>
      <w:r w:rsidR="003E7DC8">
        <w:rPr>
          <w:rFonts w:ascii="Arial" w:hAnsi="Arial" w:cs="Arial"/>
          <w:sz w:val="24"/>
          <w:szCs w:val="24"/>
        </w:rPr>
        <w:t xml:space="preserve"> </w:t>
      </w:r>
      <w:r w:rsidRPr="00133CFB">
        <w:rPr>
          <w:rFonts w:ascii="Arial" w:hAnsi="Arial" w:cs="Arial"/>
          <w:sz w:val="24"/>
          <w:szCs w:val="24"/>
        </w:rPr>
        <w:t xml:space="preserve">from new for-profit organisations (84%), existing for-profit organisations (79%) and new </w:t>
      </w:r>
      <w:r w:rsidR="00ED3DDF">
        <w:rPr>
          <w:rFonts w:ascii="Arial" w:hAnsi="Arial" w:cs="Arial"/>
          <w:sz w:val="24"/>
          <w:szCs w:val="24"/>
        </w:rPr>
        <w:t>no</w:t>
      </w:r>
      <w:r w:rsidR="008E0B37">
        <w:rPr>
          <w:rFonts w:ascii="Arial" w:hAnsi="Arial" w:cs="Arial"/>
          <w:sz w:val="24"/>
          <w:szCs w:val="24"/>
        </w:rPr>
        <w:t>t-for</w:t>
      </w:r>
      <w:r w:rsidR="00ED3DDF">
        <w:rPr>
          <w:rFonts w:ascii="Arial" w:hAnsi="Arial" w:cs="Arial"/>
          <w:sz w:val="24"/>
          <w:szCs w:val="24"/>
        </w:rPr>
        <w:t>-profits</w:t>
      </w:r>
      <w:r w:rsidRPr="00133CFB">
        <w:rPr>
          <w:rFonts w:ascii="Arial" w:hAnsi="Arial" w:cs="Arial"/>
          <w:sz w:val="24"/>
          <w:szCs w:val="24"/>
        </w:rPr>
        <w:t xml:space="preserve"> (77%). </w:t>
      </w:r>
    </w:p>
    <w:p w14:paraId="768ABB36" w14:textId="77777777" w:rsidR="00CE521F" w:rsidRPr="00133CFB" w:rsidRDefault="00CE521F" w:rsidP="004E7B04">
      <w:pPr>
        <w:ind w:left="720"/>
        <w:rPr>
          <w:rFonts w:ascii="Arial" w:hAnsi="Arial" w:cs="Arial"/>
          <w:sz w:val="24"/>
          <w:szCs w:val="24"/>
        </w:rPr>
      </w:pPr>
      <w:r w:rsidRPr="00133CFB">
        <w:rPr>
          <w:rFonts w:ascii="Arial" w:hAnsi="Arial" w:cs="Arial"/>
          <w:sz w:val="24"/>
          <w:szCs w:val="24"/>
        </w:rPr>
        <w:t>“There is a distinct impression that we need to get larger to remain competitive in the new 'deregulated' market – NDIS, My Way</w:t>
      </w:r>
      <w:r w:rsidR="00E53E50">
        <w:rPr>
          <w:rFonts w:ascii="Arial" w:hAnsi="Arial" w:cs="Arial"/>
          <w:sz w:val="24"/>
          <w:szCs w:val="24"/>
        </w:rPr>
        <w:t xml:space="preserve"> ..</w:t>
      </w:r>
      <w:r w:rsidRPr="00133CFB">
        <w:rPr>
          <w:rFonts w:ascii="Arial" w:hAnsi="Arial" w:cs="Arial"/>
          <w:sz w:val="24"/>
          <w:szCs w:val="24"/>
        </w:rPr>
        <w:t xml:space="preserve">.” – Provider </w:t>
      </w:r>
      <w:r w:rsidR="009514CE">
        <w:rPr>
          <w:rFonts w:ascii="Arial" w:hAnsi="Arial" w:cs="Arial"/>
          <w:sz w:val="24"/>
          <w:szCs w:val="24"/>
        </w:rPr>
        <w:t>in</w:t>
      </w:r>
      <w:r w:rsidRPr="00133CFB">
        <w:rPr>
          <w:rFonts w:ascii="Arial" w:hAnsi="Arial" w:cs="Arial"/>
          <w:sz w:val="24"/>
          <w:szCs w:val="24"/>
        </w:rPr>
        <w:t xml:space="preserve"> WA</w:t>
      </w:r>
    </w:p>
    <w:p w14:paraId="433D07B8" w14:textId="77777777" w:rsidR="00CE521F" w:rsidRPr="00133CFB" w:rsidRDefault="00CE521F" w:rsidP="004E7B04">
      <w:pPr>
        <w:rPr>
          <w:rFonts w:ascii="Arial" w:hAnsi="Arial" w:cs="Arial"/>
          <w:sz w:val="24"/>
          <w:szCs w:val="24"/>
        </w:rPr>
      </w:pPr>
      <w:r w:rsidRPr="00133CFB">
        <w:rPr>
          <w:rFonts w:ascii="Arial" w:hAnsi="Arial" w:cs="Arial"/>
          <w:sz w:val="24"/>
          <w:szCs w:val="24"/>
        </w:rPr>
        <w:t xml:space="preserve">The increasing demand and increasing competition also </w:t>
      </w:r>
      <w:r w:rsidR="003E7DC8">
        <w:rPr>
          <w:rFonts w:ascii="Arial" w:hAnsi="Arial" w:cs="Arial"/>
          <w:sz w:val="24"/>
          <w:szCs w:val="24"/>
        </w:rPr>
        <w:t>prompted</w:t>
      </w:r>
      <w:r w:rsidRPr="00133CFB">
        <w:rPr>
          <w:rFonts w:ascii="Arial" w:hAnsi="Arial" w:cs="Arial"/>
          <w:sz w:val="24"/>
          <w:szCs w:val="24"/>
        </w:rPr>
        <w:t xml:space="preserve"> a growing number of organisations </w:t>
      </w:r>
      <w:r w:rsidR="003E7DC8">
        <w:rPr>
          <w:rFonts w:ascii="Arial" w:hAnsi="Arial" w:cs="Arial"/>
          <w:sz w:val="24"/>
          <w:szCs w:val="24"/>
        </w:rPr>
        <w:t>to join</w:t>
      </w:r>
      <w:r w:rsidRPr="00133CFB">
        <w:rPr>
          <w:rFonts w:ascii="Arial" w:hAnsi="Arial" w:cs="Arial"/>
          <w:sz w:val="24"/>
          <w:szCs w:val="24"/>
        </w:rPr>
        <w:t xml:space="preserve"> forces, with 25% of respondents reporting having merged</w:t>
      </w:r>
      <w:r w:rsidR="00E53E50">
        <w:rPr>
          <w:rFonts w:ascii="Arial" w:hAnsi="Arial" w:cs="Arial"/>
          <w:sz w:val="24"/>
          <w:szCs w:val="24"/>
        </w:rPr>
        <w:t xml:space="preserve"> or</w:t>
      </w:r>
      <w:r w:rsidRPr="00133CFB">
        <w:rPr>
          <w:rFonts w:ascii="Arial" w:hAnsi="Arial" w:cs="Arial"/>
          <w:sz w:val="24"/>
          <w:szCs w:val="24"/>
        </w:rPr>
        <w:t xml:space="preserve"> entered into consortia or other f</w:t>
      </w:r>
      <w:r w:rsidR="00ED3DDF">
        <w:rPr>
          <w:rFonts w:ascii="Arial" w:hAnsi="Arial" w:cs="Arial"/>
          <w:sz w:val="24"/>
          <w:szCs w:val="24"/>
        </w:rPr>
        <w:t>ormal partnerships in the past six</w:t>
      </w:r>
      <w:r w:rsidRPr="00133CFB">
        <w:rPr>
          <w:rFonts w:ascii="Arial" w:hAnsi="Arial" w:cs="Arial"/>
          <w:sz w:val="24"/>
          <w:szCs w:val="24"/>
        </w:rPr>
        <w:t xml:space="preserve"> mo</w:t>
      </w:r>
      <w:r w:rsidR="00D24B91">
        <w:rPr>
          <w:rFonts w:ascii="Arial" w:hAnsi="Arial" w:cs="Arial"/>
          <w:sz w:val="24"/>
          <w:szCs w:val="24"/>
        </w:rPr>
        <w:t>nths. Mergers accounted for 6</w:t>
      </w:r>
      <w:r w:rsidRPr="00133CFB">
        <w:rPr>
          <w:rFonts w:ascii="Arial" w:hAnsi="Arial" w:cs="Arial"/>
          <w:sz w:val="24"/>
          <w:szCs w:val="24"/>
        </w:rPr>
        <w:t xml:space="preserve">% of joint activity in this period. The findings </w:t>
      </w:r>
      <w:r w:rsidR="009E1F94">
        <w:rPr>
          <w:rFonts w:ascii="Arial" w:hAnsi="Arial" w:cs="Arial"/>
          <w:sz w:val="24"/>
          <w:szCs w:val="24"/>
        </w:rPr>
        <w:t>point to</w:t>
      </w:r>
      <w:r w:rsidRPr="00133CFB">
        <w:rPr>
          <w:rFonts w:ascii="Arial" w:hAnsi="Arial" w:cs="Arial"/>
          <w:sz w:val="24"/>
          <w:szCs w:val="24"/>
        </w:rPr>
        <w:t xml:space="preserve"> some consolidation of the disability services sector in response to the NDIS reform. </w:t>
      </w:r>
    </w:p>
    <w:p w14:paraId="175DF67D" w14:textId="77777777" w:rsidR="00CE521F" w:rsidRPr="00133CFB" w:rsidRDefault="00CE521F" w:rsidP="001F094B">
      <w:pPr>
        <w:pStyle w:val="Heading2"/>
      </w:pPr>
      <w:bookmarkStart w:id="51" w:name="_Toc403038216"/>
      <w:bookmarkStart w:id="52" w:name="_Toc404089909"/>
      <w:r w:rsidRPr="00133CFB">
        <w:t>Strong stakeholder relationships</w:t>
      </w:r>
      <w:bookmarkEnd w:id="51"/>
      <w:bookmarkEnd w:id="52"/>
    </w:p>
    <w:p w14:paraId="0AC5C852" w14:textId="77777777" w:rsidR="001538B9" w:rsidRPr="00133CFB" w:rsidRDefault="00CE521F" w:rsidP="001538B9">
      <w:pPr>
        <w:rPr>
          <w:rFonts w:ascii="Arial" w:hAnsi="Arial" w:cs="Arial"/>
          <w:sz w:val="24"/>
          <w:szCs w:val="24"/>
        </w:rPr>
      </w:pPr>
      <w:r w:rsidRPr="00133CFB">
        <w:rPr>
          <w:rFonts w:ascii="Arial" w:hAnsi="Arial" w:cs="Arial"/>
          <w:sz w:val="24"/>
          <w:szCs w:val="24"/>
        </w:rPr>
        <w:t>A key driver of confidence is the strength of relationships with key stakeholders</w:t>
      </w:r>
      <w:r w:rsidR="00ED3DDF">
        <w:rPr>
          <w:rFonts w:ascii="Arial" w:hAnsi="Arial" w:cs="Arial"/>
          <w:sz w:val="24"/>
          <w:szCs w:val="24"/>
        </w:rPr>
        <w:t>,</w:t>
      </w:r>
      <w:r w:rsidRPr="00133CFB">
        <w:rPr>
          <w:rFonts w:ascii="Arial" w:hAnsi="Arial" w:cs="Arial"/>
          <w:sz w:val="24"/>
          <w:szCs w:val="24"/>
        </w:rPr>
        <w:t xml:space="preserve"> including clients and families </w:t>
      </w:r>
      <w:r w:rsidR="001538B9" w:rsidRPr="00133CFB">
        <w:rPr>
          <w:rFonts w:ascii="Arial" w:hAnsi="Arial" w:cs="Arial"/>
          <w:sz w:val="24"/>
          <w:szCs w:val="24"/>
        </w:rPr>
        <w:t>(94%</w:t>
      </w:r>
      <w:r w:rsidR="00AA5853">
        <w:rPr>
          <w:rFonts w:ascii="Arial" w:hAnsi="Arial" w:cs="Arial"/>
          <w:sz w:val="24"/>
          <w:szCs w:val="24"/>
        </w:rPr>
        <w:t xml:space="preserve"> report</w:t>
      </w:r>
      <w:r w:rsidR="001538B9">
        <w:rPr>
          <w:rFonts w:ascii="Arial" w:hAnsi="Arial" w:cs="Arial"/>
          <w:sz w:val="24"/>
          <w:szCs w:val="24"/>
        </w:rPr>
        <w:t xml:space="preserve"> a strong relationship</w:t>
      </w:r>
      <w:r w:rsidR="001538B9" w:rsidRPr="00133CFB">
        <w:rPr>
          <w:rFonts w:ascii="Arial" w:hAnsi="Arial" w:cs="Arial"/>
          <w:sz w:val="24"/>
          <w:szCs w:val="24"/>
        </w:rPr>
        <w:t xml:space="preserve">), the community (87%) and </w:t>
      </w:r>
      <w:r w:rsidR="001538B9">
        <w:rPr>
          <w:rFonts w:ascii="Arial" w:hAnsi="Arial" w:cs="Arial"/>
          <w:sz w:val="24"/>
          <w:szCs w:val="24"/>
        </w:rPr>
        <w:t>not-for-profits</w:t>
      </w:r>
      <w:r w:rsidR="001538B9" w:rsidRPr="00133CFB">
        <w:rPr>
          <w:rFonts w:ascii="Arial" w:hAnsi="Arial" w:cs="Arial"/>
          <w:sz w:val="24"/>
          <w:szCs w:val="24"/>
        </w:rPr>
        <w:t xml:space="preserve"> in the sector (72%). The strength of relationships with government agencies </w:t>
      </w:r>
      <w:r w:rsidR="00AA5853">
        <w:rPr>
          <w:rFonts w:ascii="Arial" w:hAnsi="Arial" w:cs="Arial"/>
          <w:sz w:val="24"/>
          <w:szCs w:val="24"/>
        </w:rPr>
        <w:t>is</w:t>
      </w:r>
      <w:r w:rsidR="001538B9" w:rsidRPr="00133CFB">
        <w:rPr>
          <w:rFonts w:ascii="Arial" w:hAnsi="Arial" w:cs="Arial"/>
          <w:sz w:val="24"/>
          <w:szCs w:val="24"/>
        </w:rPr>
        <w:t xml:space="preserve"> lower, and </w:t>
      </w:r>
      <w:r w:rsidR="001538B9">
        <w:rPr>
          <w:rFonts w:ascii="Arial" w:hAnsi="Arial" w:cs="Arial"/>
          <w:sz w:val="24"/>
          <w:szCs w:val="24"/>
        </w:rPr>
        <w:t xml:space="preserve">more </w:t>
      </w:r>
      <w:r w:rsidR="003F170E">
        <w:rPr>
          <w:rFonts w:ascii="Arial" w:hAnsi="Arial" w:cs="Arial"/>
          <w:sz w:val="24"/>
          <w:szCs w:val="24"/>
        </w:rPr>
        <w:t xml:space="preserve">respondents </w:t>
      </w:r>
      <w:r w:rsidR="00AA5853">
        <w:rPr>
          <w:rFonts w:ascii="Arial" w:hAnsi="Arial" w:cs="Arial"/>
          <w:sz w:val="24"/>
          <w:szCs w:val="24"/>
        </w:rPr>
        <w:t>expect</w:t>
      </w:r>
      <w:r w:rsidR="001538B9" w:rsidRPr="00133CFB">
        <w:rPr>
          <w:rFonts w:ascii="Arial" w:hAnsi="Arial" w:cs="Arial"/>
          <w:sz w:val="24"/>
          <w:szCs w:val="24"/>
        </w:rPr>
        <w:t xml:space="preserve"> </w:t>
      </w:r>
      <w:r w:rsidR="001538B9">
        <w:rPr>
          <w:rFonts w:ascii="Arial" w:hAnsi="Arial" w:cs="Arial"/>
          <w:sz w:val="24"/>
          <w:szCs w:val="24"/>
        </w:rPr>
        <w:t>a strong</w:t>
      </w:r>
      <w:r w:rsidR="005D0A52">
        <w:rPr>
          <w:rFonts w:ascii="Arial" w:hAnsi="Arial" w:cs="Arial"/>
          <w:sz w:val="24"/>
          <w:szCs w:val="24"/>
        </w:rPr>
        <w:t>er</w:t>
      </w:r>
      <w:r w:rsidR="001538B9">
        <w:rPr>
          <w:rFonts w:ascii="Arial" w:hAnsi="Arial" w:cs="Arial"/>
          <w:sz w:val="24"/>
          <w:szCs w:val="24"/>
        </w:rPr>
        <w:t xml:space="preserve"> </w:t>
      </w:r>
      <w:r w:rsidR="001538B9" w:rsidRPr="00133CFB">
        <w:rPr>
          <w:rFonts w:ascii="Arial" w:hAnsi="Arial" w:cs="Arial"/>
          <w:sz w:val="24"/>
          <w:szCs w:val="24"/>
        </w:rPr>
        <w:t>relationship</w:t>
      </w:r>
      <w:r w:rsidR="001538B9">
        <w:rPr>
          <w:rFonts w:ascii="Arial" w:hAnsi="Arial" w:cs="Arial"/>
          <w:sz w:val="24"/>
          <w:szCs w:val="24"/>
        </w:rPr>
        <w:t xml:space="preserve"> in the future</w:t>
      </w:r>
      <w:r w:rsidR="003F170E">
        <w:rPr>
          <w:rFonts w:ascii="Arial" w:hAnsi="Arial" w:cs="Arial"/>
          <w:sz w:val="24"/>
          <w:szCs w:val="24"/>
        </w:rPr>
        <w:t xml:space="preserve"> with commercial businesses</w:t>
      </w:r>
      <w:r w:rsidR="001538B9">
        <w:rPr>
          <w:rFonts w:ascii="Arial" w:hAnsi="Arial" w:cs="Arial"/>
          <w:sz w:val="24"/>
          <w:szCs w:val="24"/>
        </w:rPr>
        <w:t xml:space="preserve"> than in the past</w:t>
      </w:r>
      <w:r w:rsidR="001538B9" w:rsidRPr="00133CFB">
        <w:rPr>
          <w:rFonts w:ascii="Arial" w:hAnsi="Arial" w:cs="Arial"/>
          <w:sz w:val="24"/>
          <w:szCs w:val="24"/>
        </w:rPr>
        <w:t>.</w:t>
      </w:r>
    </w:p>
    <w:p w14:paraId="60A29A06" w14:textId="77777777" w:rsidR="001538B9" w:rsidRPr="00133CFB" w:rsidRDefault="001538B9" w:rsidP="001F094B">
      <w:pPr>
        <w:pStyle w:val="Heading2"/>
      </w:pPr>
      <w:bookmarkStart w:id="53" w:name="_Toc403038217"/>
      <w:bookmarkStart w:id="54" w:name="_Toc404089910"/>
      <w:r w:rsidRPr="00133CFB">
        <w:t>Government policy</w:t>
      </w:r>
      <w:bookmarkEnd w:id="53"/>
      <w:bookmarkEnd w:id="54"/>
    </w:p>
    <w:p w14:paraId="58FBC6C6" w14:textId="77777777" w:rsidR="00CE521F" w:rsidRPr="00ED3DDF" w:rsidRDefault="001538B9" w:rsidP="001538B9">
      <w:pPr>
        <w:rPr>
          <w:rFonts w:ascii="Arial" w:hAnsi="Arial" w:cs="Arial"/>
          <w:sz w:val="24"/>
          <w:szCs w:val="24"/>
        </w:rPr>
      </w:pPr>
      <w:r w:rsidRPr="00ED3DDF">
        <w:rPr>
          <w:rFonts w:ascii="Arial" w:hAnsi="Arial" w:cs="Arial"/>
          <w:sz w:val="24"/>
          <w:szCs w:val="24"/>
        </w:rPr>
        <w:t>Most respondents (81%) repor</w:t>
      </w:r>
      <w:r w:rsidR="00AA5853">
        <w:rPr>
          <w:rFonts w:ascii="Arial" w:hAnsi="Arial" w:cs="Arial"/>
          <w:sz w:val="24"/>
          <w:szCs w:val="24"/>
        </w:rPr>
        <w:t>t</w:t>
      </w:r>
      <w:r w:rsidRPr="00ED3DDF">
        <w:rPr>
          <w:rFonts w:ascii="Arial" w:hAnsi="Arial" w:cs="Arial"/>
          <w:sz w:val="24"/>
          <w:szCs w:val="24"/>
        </w:rPr>
        <w:t xml:space="preserve"> that the policy environment </w:t>
      </w:r>
      <w:r w:rsidR="00AA5853">
        <w:rPr>
          <w:rFonts w:ascii="Arial" w:hAnsi="Arial" w:cs="Arial"/>
          <w:sz w:val="24"/>
          <w:szCs w:val="24"/>
        </w:rPr>
        <w:t>is</w:t>
      </w:r>
      <w:r w:rsidRPr="00ED3DDF">
        <w:rPr>
          <w:rFonts w:ascii="Arial" w:hAnsi="Arial" w:cs="Arial"/>
          <w:sz w:val="24"/>
          <w:szCs w:val="24"/>
        </w:rPr>
        <w:t xml:space="preserve"> uncertain, that it </w:t>
      </w:r>
      <w:r w:rsidR="00AA5853">
        <w:rPr>
          <w:rFonts w:ascii="Arial" w:hAnsi="Arial" w:cs="Arial"/>
          <w:sz w:val="24"/>
          <w:szCs w:val="24"/>
        </w:rPr>
        <w:t>is</w:t>
      </w:r>
      <w:r w:rsidRPr="00ED3DDF">
        <w:rPr>
          <w:rFonts w:ascii="Arial" w:hAnsi="Arial" w:cs="Arial"/>
          <w:sz w:val="24"/>
          <w:szCs w:val="24"/>
        </w:rPr>
        <w:t xml:space="preserve"> confusing (</w:t>
      </w:r>
      <w:r>
        <w:rPr>
          <w:rFonts w:ascii="Arial" w:hAnsi="Arial" w:cs="Arial"/>
          <w:sz w:val="24"/>
          <w:szCs w:val="24"/>
        </w:rPr>
        <w:t>73</w:t>
      </w:r>
      <w:r w:rsidRPr="00ED3DDF">
        <w:rPr>
          <w:rFonts w:ascii="Arial" w:hAnsi="Arial" w:cs="Arial"/>
          <w:sz w:val="24"/>
          <w:szCs w:val="24"/>
        </w:rPr>
        <w:t xml:space="preserve">%) and that government </w:t>
      </w:r>
      <w:r w:rsidR="00AA5853">
        <w:rPr>
          <w:rFonts w:ascii="Arial" w:hAnsi="Arial" w:cs="Arial"/>
          <w:sz w:val="24"/>
          <w:szCs w:val="24"/>
        </w:rPr>
        <w:t>is</w:t>
      </w:r>
      <w:r w:rsidRPr="00ED3DDF">
        <w:rPr>
          <w:rFonts w:ascii="Arial" w:hAnsi="Arial" w:cs="Arial"/>
          <w:sz w:val="24"/>
          <w:szCs w:val="24"/>
        </w:rPr>
        <w:t xml:space="preserve"> not anticipating or responding to the needs of organisations such as theirs</w:t>
      </w:r>
      <w:r>
        <w:rPr>
          <w:rFonts w:ascii="Arial" w:hAnsi="Arial" w:cs="Arial"/>
          <w:sz w:val="24"/>
          <w:szCs w:val="24"/>
        </w:rPr>
        <w:t xml:space="preserve"> (71%)</w:t>
      </w:r>
      <w:r w:rsidRPr="00ED3DDF">
        <w:rPr>
          <w:rFonts w:ascii="Arial" w:hAnsi="Arial" w:cs="Arial"/>
          <w:sz w:val="24"/>
          <w:szCs w:val="24"/>
        </w:rPr>
        <w:t xml:space="preserve">. </w:t>
      </w:r>
      <w:r w:rsidR="00AA5853">
        <w:rPr>
          <w:rFonts w:ascii="Arial" w:hAnsi="Arial" w:cs="Arial"/>
          <w:sz w:val="24"/>
          <w:szCs w:val="24"/>
        </w:rPr>
        <w:t>However, two thirds (65%) agree</w:t>
      </w:r>
      <w:r w:rsidRPr="00ED3DDF">
        <w:rPr>
          <w:rFonts w:ascii="Arial" w:hAnsi="Arial" w:cs="Arial"/>
          <w:sz w:val="24"/>
          <w:szCs w:val="24"/>
        </w:rPr>
        <w:t xml:space="preserve"> that the policy reforms </w:t>
      </w:r>
      <w:r w:rsidR="00AA5853">
        <w:rPr>
          <w:rFonts w:ascii="Arial" w:hAnsi="Arial" w:cs="Arial"/>
          <w:sz w:val="24"/>
          <w:szCs w:val="24"/>
        </w:rPr>
        <w:t>are</w:t>
      </w:r>
      <w:r w:rsidRPr="00ED3DDF">
        <w:rPr>
          <w:rFonts w:ascii="Arial" w:hAnsi="Arial" w:cs="Arial"/>
          <w:sz w:val="24"/>
          <w:szCs w:val="24"/>
        </w:rPr>
        <w:t xml:space="preserve"> heading in the right direction.</w:t>
      </w:r>
      <w:r w:rsidR="00CE521F" w:rsidRPr="00ED3DDF">
        <w:rPr>
          <w:rFonts w:ascii="Arial" w:hAnsi="Arial" w:cs="Arial"/>
          <w:sz w:val="24"/>
          <w:szCs w:val="24"/>
        </w:rPr>
        <w:t xml:space="preserve"> </w:t>
      </w:r>
    </w:p>
    <w:p w14:paraId="4E0577AA" w14:textId="77777777" w:rsidR="00CE521F" w:rsidRPr="00133CFB" w:rsidRDefault="00CE521F" w:rsidP="004E7B04">
      <w:pPr>
        <w:rPr>
          <w:rFonts w:ascii="Arial" w:hAnsi="Arial" w:cs="Arial"/>
          <w:sz w:val="24"/>
          <w:szCs w:val="24"/>
        </w:rPr>
      </w:pPr>
      <w:r w:rsidRPr="00133CFB">
        <w:rPr>
          <w:rFonts w:ascii="Arial" w:hAnsi="Arial" w:cs="Arial"/>
          <w:sz w:val="24"/>
          <w:szCs w:val="24"/>
        </w:rPr>
        <w:t xml:space="preserve">Concerns about the contribution of </w:t>
      </w:r>
      <w:r w:rsidR="00ED3DDF">
        <w:rPr>
          <w:rFonts w:ascii="Arial" w:hAnsi="Arial" w:cs="Arial"/>
          <w:sz w:val="24"/>
          <w:szCs w:val="24"/>
        </w:rPr>
        <w:t>not-for-profits</w:t>
      </w:r>
      <w:r w:rsidRPr="00133CFB">
        <w:rPr>
          <w:rFonts w:ascii="Arial" w:hAnsi="Arial" w:cs="Arial"/>
          <w:sz w:val="24"/>
          <w:szCs w:val="24"/>
        </w:rPr>
        <w:t xml:space="preserve"> in the context of review of competition policy and uncertainty over wage outcomes </w:t>
      </w:r>
      <w:r w:rsidR="00AA5853">
        <w:rPr>
          <w:rFonts w:ascii="Arial" w:hAnsi="Arial" w:cs="Arial"/>
          <w:sz w:val="24"/>
          <w:szCs w:val="24"/>
        </w:rPr>
        <w:t>for supported employees feature</w:t>
      </w:r>
      <w:r w:rsidRPr="00133CFB">
        <w:rPr>
          <w:rFonts w:ascii="Arial" w:hAnsi="Arial" w:cs="Arial"/>
          <w:sz w:val="24"/>
          <w:szCs w:val="24"/>
        </w:rPr>
        <w:t xml:space="preserve"> in the qualitative findings. </w:t>
      </w:r>
    </w:p>
    <w:p w14:paraId="42CC9783" w14:textId="77777777" w:rsidR="00CE521F" w:rsidRPr="00133CFB" w:rsidRDefault="00CE521F" w:rsidP="004E7B04">
      <w:pPr>
        <w:ind w:left="720"/>
        <w:rPr>
          <w:rFonts w:ascii="Arial" w:hAnsi="Arial" w:cs="Arial"/>
          <w:sz w:val="24"/>
          <w:szCs w:val="24"/>
        </w:rPr>
      </w:pPr>
      <w:r w:rsidRPr="00133CFB">
        <w:rPr>
          <w:rFonts w:ascii="Arial" w:hAnsi="Arial" w:cs="Arial"/>
          <w:sz w:val="24"/>
          <w:szCs w:val="24"/>
        </w:rPr>
        <w:t xml:space="preserve">“If Government continues to have little or no understanding of a not-for-profit, that is that NGOs must be able to have a margin/income that reflects the business costs of operating – our business, which is service, will not be able to continue in the future.” – Provider </w:t>
      </w:r>
      <w:r w:rsidR="009514CE">
        <w:rPr>
          <w:rFonts w:ascii="Arial" w:hAnsi="Arial" w:cs="Arial"/>
          <w:sz w:val="24"/>
          <w:szCs w:val="24"/>
        </w:rPr>
        <w:t>in</w:t>
      </w:r>
      <w:r w:rsidRPr="00133CFB">
        <w:rPr>
          <w:rFonts w:ascii="Arial" w:hAnsi="Arial" w:cs="Arial"/>
          <w:sz w:val="24"/>
          <w:szCs w:val="24"/>
        </w:rPr>
        <w:t xml:space="preserve"> NSW</w:t>
      </w:r>
    </w:p>
    <w:p w14:paraId="3DDD65DD" w14:textId="77777777" w:rsidR="00892711" w:rsidRPr="00133CFB" w:rsidRDefault="00CE521F" w:rsidP="004E7B04">
      <w:pPr>
        <w:rPr>
          <w:rFonts w:ascii="Arial" w:hAnsi="Arial" w:cs="Arial"/>
          <w:sz w:val="24"/>
          <w:szCs w:val="24"/>
        </w:rPr>
      </w:pPr>
      <w:r w:rsidRPr="00133CFB">
        <w:rPr>
          <w:rFonts w:ascii="Arial" w:hAnsi="Arial" w:cs="Arial"/>
          <w:sz w:val="24"/>
          <w:szCs w:val="24"/>
        </w:rPr>
        <w:t>M</w:t>
      </w:r>
      <w:r w:rsidR="001538B9">
        <w:rPr>
          <w:rFonts w:ascii="Arial" w:hAnsi="Arial" w:cs="Arial"/>
          <w:sz w:val="24"/>
          <w:szCs w:val="24"/>
        </w:rPr>
        <w:t>ost respondents (68%)</w:t>
      </w:r>
      <w:r w:rsidR="00AA5853">
        <w:rPr>
          <w:rFonts w:ascii="Arial" w:hAnsi="Arial" w:cs="Arial"/>
          <w:sz w:val="24"/>
          <w:szCs w:val="24"/>
        </w:rPr>
        <w:t xml:space="preserve"> report</w:t>
      </w:r>
      <w:r w:rsidRPr="00133CFB">
        <w:rPr>
          <w:rFonts w:ascii="Arial" w:hAnsi="Arial" w:cs="Arial"/>
          <w:sz w:val="24"/>
          <w:szCs w:val="24"/>
        </w:rPr>
        <w:t xml:space="preserve"> that their organisation has to follow too many rules and regulations. </w:t>
      </w:r>
    </w:p>
    <w:p w14:paraId="7199B0FD" w14:textId="77777777" w:rsidR="00ED3DDF" w:rsidRDefault="00CE521F">
      <w:pPr>
        <w:rPr>
          <w:rFonts w:ascii="Arial" w:eastAsiaTheme="majorEastAsia" w:hAnsi="Arial" w:cs="Arial"/>
          <w:b/>
          <w:bCs/>
          <w:sz w:val="26"/>
          <w:szCs w:val="26"/>
        </w:rPr>
      </w:pPr>
      <w:r w:rsidRPr="00133CFB">
        <w:rPr>
          <w:rFonts w:ascii="Arial" w:hAnsi="Arial" w:cs="Arial"/>
          <w:sz w:val="24"/>
          <w:szCs w:val="24"/>
        </w:rPr>
        <w:t xml:space="preserve">In terms of the NDIS, </w:t>
      </w:r>
      <w:r w:rsidR="008E15ED" w:rsidRPr="00133CFB">
        <w:rPr>
          <w:rFonts w:ascii="Arial" w:hAnsi="Arial" w:cs="Arial"/>
          <w:sz w:val="24"/>
          <w:szCs w:val="24"/>
        </w:rPr>
        <w:t xml:space="preserve">service providers </w:t>
      </w:r>
      <w:r w:rsidR="00AA5853">
        <w:rPr>
          <w:rFonts w:ascii="Arial" w:hAnsi="Arial" w:cs="Arial"/>
          <w:sz w:val="24"/>
          <w:szCs w:val="24"/>
        </w:rPr>
        <w:t>are</w:t>
      </w:r>
      <w:r w:rsidR="008E15ED" w:rsidRPr="00133CFB">
        <w:rPr>
          <w:rFonts w:ascii="Arial" w:hAnsi="Arial" w:cs="Arial"/>
          <w:sz w:val="24"/>
          <w:szCs w:val="24"/>
        </w:rPr>
        <w:t xml:space="preserve"> d</w:t>
      </w:r>
      <w:r w:rsidR="00ED3DDF">
        <w:rPr>
          <w:rFonts w:ascii="Arial" w:hAnsi="Arial" w:cs="Arial"/>
          <w:sz w:val="24"/>
          <w:szCs w:val="24"/>
        </w:rPr>
        <w:t>ivided on the speed of the roll</w:t>
      </w:r>
      <w:r w:rsidR="008E15ED" w:rsidRPr="00133CFB">
        <w:rPr>
          <w:rFonts w:ascii="Arial" w:hAnsi="Arial" w:cs="Arial"/>
          <w:sz w:val="24"/>
          <w:szCs w:val="24"/>
        </w:rPr>
        <w:t>out</w:t>
      </w:r>
      <w:r w:rsidRPr="00133CFB">
        <w:rPr>
          <w:rFonts w:ascii="Arial" w:hAnsi="Arial" w:cs="Arial"/>
          <w:sz w:val="24"/>
          <w:szCs w:val="24"/>
        </w:rPr>
        <w:t xml:space="preserve">. This </w:t>
      </w:r>
      <w:r w:rsidR="00AA5853">
        <w:rPr>
          <w:rFonts w:ascii="Arial" w:hAnsi="Arial" w:cs="Arial"/>
          <w:sz w:val="24"/>
          <w:szCs w:val="24"/>
        </w:rPr>
        <w:t>is</w:t>
      </w:r>
      <w:r w:rsidRPr="00133CFB">
        <w:rPr>
          <w:rFonts w:ascii="Arial" w:hAnsi="Arial" w:cs="Arial"/>
          <w:sz w:val="24"/>
          <w:szCs w:val="24"/>
        </w:rPr>
        <w:t xml:space="preserve"> the case across all sub-groups, including those who </w:t>
      </w:r>
      <w:r w:rsidR="00AA5853">
        <w:rPr>
          <w:rFonts w:ascii="Arial" w:hAnsi="Arial" w:cs="Arial"/>
          <w:sz w:val="24"/>
          <w:szCs w:val="24"/>
        </w:rPr>
        <w:t>are</w:t>
      </w:r>
      <w:r w:rsidRPr="00133CFB">
        <w:rPr>
          <w:rFonts w:ascii="Arial" w:hAnsi="Arial" w:cs="Arial"/>
          <w:sz w:val="24"/>
          <w:szCs w:val="24"/>
        </w:rPr>
        <w:t xml:space="preserve"> and those who </w:t>
      </w:r>
      <w:r w:rsidR="00AA5853">
        <w:rPr>
          <w:rFonts w:ascii="Arial" w:hAnsi="Arial" w:cs="Arial"/>
          <w:sz w:val="24"/>
          <w:szCs w:val="24"/>
        </w:rPr>
        <w:t>are</w:t>
      </w:r>
      <w:r w:rsidRPr="00133CFB">
        <w:rPr>
          <w:rFonts w:ascii="Arial" w:hAnsi="Arial" w:cs="Arial"/>
          <w:sz w:val="24"/>
          <w:szCs w:val="24"/>
        </w:rPr>
        <w:t xml:space="preserve"> not registered to provide disability supports in an NDI</w:t>
      </w:r>
      <w:r w:rsidR="008E15ED" w:rsidRPr="00133CFB">
        <w:rPr>
          <w:rFonts w:ascii="Arial" w:hAnsi="Arial" w:cs="Arial"/>
          <w:sz w:val="24"/>
          <w:szCs w:val="24"/>
        </w:rPr>
        <w:t>S trial site</w:t>
      </w:r>
      <w:r w:rsidRPr="00133CFB">
        <w:rPr>
          <w:rFonts w:ascii="Arial" w:hAnsi="Arial" w:cs="Arial"/>
          <w:sz w:val="24"/>
          <w:szCs w:val="24"/>
        </w:rPr>
        <w:t>.</w:t>
      </w:r>
      <w:bookmarkStart w:id="55" w:name="_Toc403038218"/>
      <w:r w:rsidR="00ED3DDF">
        <w:rPr>
          <w:rFonts w:ascii="Arial" w:hAnsi="Arial" w:cs="Arial"/>
        </w:rPr>
        <w:br w:type="page"/>
      </w:r>
    </w:p>
    <w:p w14:paraId="3027D4B8" w14:textId="77777777" w:rsidR="00CE521F" w:rsidRPr="00133CFB" w:rsidRDefault="00CE521F" w:rsidP="001F094B">
      <w:pPr>
        <w:pStyle w:val="Heading2"/>
      </w:pPr>
      <w:bookmarkStart w:id="56" w:name="_Toc404089911"/>
      <w:r w:rsidRPr="00133CFB">
        <w:lastRenderedPageBreak/>
        <w:t>Financial performance</w:t>
      </w:r>
      <w:bookmarkEnd w:id="55"/>
      <w:bookmarkEnd w:id="56"/>
    </w:p>
    <w:p w14:paraId="03186599" w14:textId="77777777" w:rsidR="00CE521F" w:rsidRPr="00133CFB" w:rsidRDefault="00CE521F" w:rsidP="004E7B04">
      <w:pPr>
        <w:rPr>
          <w:rFonts w:ascii="Arial" w:hAnsi="Arial" w:cs="Arial"/>
          <w:sz w:val="24"/>
          <w:szCs w:val="24"/>
        </w:rPr>
      </w:pPr>
      <w:r w:rsidRPr="00133CFB">
        <w:rPr>
          <w:rFonts w:ascii="Arial" w:hAnsi="Arial" w:cs="Arial"/>
          <w:sz w:val="24"/>
          <w:szCs w:val="24"/>
        </w:rPr>
        <w:t xml:space="preserve">A 2014 NDS survey of NDIS readiness found that </w:t>
      </w:r>
      <w:r w:rsidR="00ED3DDF">
        <w:rPr>
          <w:rFonts w:ascii="Arial" w:hAnsi="Arial" w:cs="Arial"/>
          <w:sz w:val="24"/>
          <w:szCs w:val="24"/>
        </w:rPr>
        <w:t>fewer than a quarter</w:t>
      </w:r>
      <w:r w:rsidRPr="00133CFB">
        <w:rPr>
          <w:rFonts w:ascii="Arial" w:hAnsi="Arial" w:cs="Arial"/>
          <w:sz w:val="24"/>
          <w:szCs w:val="24"/>
        </w:rPr>
        <w:t xml:space="preserve"> of respondents (24%) were confident their practices were adequate for responding to the NDIS. This aspect of financial management is </w:t>
      </w:r>
      <w:r w:rsidR="009E1F94">
        <w:rPr>
          <w:rFonts w:ascii="Arial" w:hAnsi="Arial" w:cs="Arial"/>
          <w:sz w:val="24"/>
          <w:szCs w:val="24"/>
        </w:rPr>
        <w:t>important in</w:t>
      </w:r>
      <w:r w:rsidRPr="00133CFB">
        <w:rPr>
          <w:rFonts w:ascii="Arial" w:hAnsi="Arial" w:cs="Arial"/>
          <w:sz w:val="24"/>
          <w:szCs w:val="24"/>
        </w:rPr>
        <w:t xml:space="preserve"> cost recovery under the NDIS.</w:t>
      </w:r>
    </w:p>
    <w:p w14:paraId="59FE4E63" w14:textId="77777777" w:rsidR="008E15ED" w:rsidRPr="00133CFB" w:rsidRDefault="008E15ED" w:rsidP="004E7B04">
      <w:pPr>
        <w:rPr>
          <w:rFonts w:ascii="Arial" w:hAnsi="Arial" w:cs="Arial"/>
          <w:sz w:val="24"/>
          <w:szCs w:val="24"/>
        </w:rPr>
      </w:pPr>
      <w:r w:rsidRPr="00133CFB">
        <w:rPr>
          <w:rFonts w:ascii="Arial" w:hAnsi="Arial" w:cs="Arial"/>
          <w:sz w:val="24"/>
          <w:szCs w:val="24"/>
        </w:rPr>
        <w:t xml:space="preserve">A key financial </w:t>
      </w:r>
      <w:r w:rsidR="009E1F94">
        <w:rPr>
          <w:rFonts w:ascii="Arial" w:hAnsi="Arial" w:cs="Arial"/>
          <w:sz w:val="24"/>
          <w:szCs w:val="24"/>
        </w:rPr>
        <w:t xml:space="preserve">ratio analysis conducted by NDS, </w:t>
      </w:r>
      <w:r w:rsidRPr="00133CFB">
        <w:rPr>
          <w:rFonts w:ascii="Arial" w:hAnsi="Arial" w:cs="Arial"/>
          <w:sz w:val="24"/>
          <w:szCs w:val="24"/>
        </w:rPr>
        <w:t>involving a non-representative sample of 129 responding organisations in 2012-13</w:t>
      </w:r>
      <w:r w:rsidR="009E1F94">
        <w:rPr>
          <w:rFonts w:ascii="Arial" w:hAnsi="Arial" w:cs="Arial"/>
          <w:sz w:val="24"/>
          <w:szCs w:val="24"/>
        </w:rPr>
        <w:t>,</w:t>
      </w:r>
      <w:r w:rsidRPr="00133CFB">
        <w:rPr>
          <w:rFonts w:ascii="Arial" w:hAnsi="Arial" w:cs="Arial"/>
          <w:sz w:val="24"/>
          <w:szCs w:val="24"/>
        </w:rPr>
        <w:t xml:space="preserve"> found that:</w:t>
      </w:r>
    </w:p>
    <w:p w14:paraId="0C120177" w14:textId="77777777" w:rsidR="008E15ED" w:rsidRPr="00ED3DDF" w:rsidRDefault="008E15ED" w:rsidP="008115DE">
      <w:pPr>
        <w:pStyle w:val="ListParagraph"/>
        <w:numPr>
          <w:ilvl w:val="0"/>
          <w:numId w:val="23"/>
        </w:numPr>
        <w:rPr>
          <w:rFonts w:ascii="Arial" w:hAnsi="Arial" w:cs="Arial"/>
          <w:sz w:val="24"/>
          <w:szCs w:val="24"/>
        </w:rPr>
      </w:pPr>
      <w:r w:rsidRPr="00ED3DDF">
        <w:rPr>
          <w:rFonts w:ascii="Arial" w:hAnsi="Arial" w:cs="Arial"/>
          <w:sz w:val="24"/>
          <w:szCs w:val="24"/>
        </w:rPr>
        <w:t xml:space="preserve">only 33% met the recommended standard of </w:t>
      </w:r>
      <w:r w:rsidR="00AA5853">
        <w:rPr>
          <w:rFonts w:ascii="Arial" w:hAnsi="Arial" w:cs="Arial"/>
          <w:sz w:val="24"/>
          <w:szCs w:val="24"/>
        </w:rPr>
        <w:t>three</w:t>
      </w:r>
      <w:r w:rsidRPr="00ED3DDF">
        <w:rPr>
          <w:rFonts w:ascii="Arial" w:hAnsi="Arial" w:cs="Arial"/>
          <w:sz w:val="24"/>
          <w:szCs w:val="24"/>
        </w:rPr>
        <w:t xml:space="preserve"> months or more of spending</w:t>
      </w:r>
      <w:r w:rsidR="00147856">
        <w:rPr>
          <w:rFonts w:ascii="Arial" w:hAnsi="Arial" w:cs="Arial"/>
          <w:sz w:val="24"/>
          <w:szCs w:val="24"/>
        </w:rPr>
        <w:t>,</w:t>
      </w:r>
      <w:r w:rsidRPr="00ED3DDF">
        <w:rPr>
          <w:rFonts w:ascii="Arial" w:hAnsi="Arial" w:cs="Arial"/>
          <w:sz w:val="24"/>
          <w:szCs w:val="24"/>
        </w:rPr>
        <w:t xml:space="preserve"> highlighting potential cashflow difficulty</w:t>
      </w:r>
    </w:p>
    <w:p w14:paraId="29CEE003" w14:textId="77777777" w:rsidR="008E15ED" w:rsidRPr="00ED3DDF" w:rsidRDefault="008E15ED" w:rsidP="008115DE">
      <w:pPr>
        <w:pStyle w:val="ListParagraph"/>
        <w:numPr>
          <w:ilvl w:val="0"/>
          <w:numId w:val="23"/>
        </w:numPr>
        <w:rPr>
          <w:rFonts w:ascii="Arial" w:hAnsi="Arial" w:cs="Arial"/>
          <w:sz w:val="24"/>
          <w:szCs w:val="24"/>
        </w:rPr>
      </w:pPr>
      <w:r w:rsidRPr="00ED3DDF">
        <w:rPr>
          <w:rFonts w:ascii="Arial" w:hAnsi="Arial" w:cs="Arial"/>
          <w:sz w:val="24"/>
          <w:szCs w:val="24"/>
        </w:rPr>
        <w:t>9% of respondents have current assets that are less than current liabilities</w:t>
      </w:r>
      <w:r w:rsidR="00ED3DDF">
        <w:rPr>
          <w:rFonts w:ascii="Arial" w:hAnsi="Arial" w:cs="Arial"/>
          <w:sz w:val="24"/>
          <w:szCs w:val="24"/>
        </w:rPr>
        <w:t>,</w:t>
      </w:r>
      <w:r w:rsidRPr="00ED3DDF">
        <w:rPr>
          <w:rFonts w:ascii="Arial" w:hAnsi="Arial" w:cs="Arial"/>
          <w:sz w:val="24"/>
          <w:szCs w:val="24"/>
        </w:rPr>
        <w:t xml:space="preserve"> pointing to risk of insolvency</w:t>
      </w:r>
    </w:p>
    <w:p w14:paraId="0074AC42" w14:textId="77777777" w:rsidR="008E15ED" w:rsidRPr="00ED3DDF" w:rsidRDefault="008E15ED" w:rsidP="008115DE">
      <w:pPr>
        <w:pStyle w:val="ListParagraph"/>
        <w:numPr>
          <w:ilvl w:val="0"/>
          <w:numId w:val="23"/>
        </w:numPr>
        <w:rPr>
          <w:rFonts w:ascii="Arial" w:hAnsi="Arial" w:cs="Arial"/>
          <w:sz w:val="24"/>
          <w:szCs w:val="24"/>
        </w:rPr>
      </w:pPr>
      <w:r w:rsidRPr="00ED3DDF">
        <w:rPr>
          <w:rFonts w:ascii="Arial" w:hAnsi="Arial" w:cs="Arial"/>
          <w:sz w:val="24"/>
          <w:szCs w:val="24"/>
        </w:rPr>
        <w:t>11% of respondents made losses in the last two financial years</w:t>
      </w:r>
    </w:p>
    <w:p w14:paraId="1701194D" w14:textId="77777777" w:rsidR="008E15ED" w:rsidRPr="00ED3DDF" w:rsidRDefault="008E15ED" w:rsidP="008115DE">
      <w:pPr>
        <w:pStyle w:val="ListParagraph"/>
        <w:numPr>
          <w:ilvl w:val="0"/>
          <w:numId w:val="23"/>
        </w:numPr>
        <w:rPr>
          <w:rFonts w:ascii="Arial" w:hAnsi="Arial" w:cs="Arial"/>
          <w:sz w:val="24"/>
          <w:szCs w:val="24"/>
        </w:rPr>
      </w:pPr>
      <w:r w:rsidRPr="00ED3DDF">
        <w:rPr>
          <w:rFonts w:ascii="Arial" w:hAnsi="Arial" w:cs="Arial"/>
          <w:sz w:val="24"/>
          <w:szCs w:val="24"/>
        </w:rPr>
        <w:t>more than one third (35%) of respondents had debts to total assets of more than 0.5, indicating relatively high debt</w:t>
      </w:r>
    </w:p>
    <w:p w14:paraId="203450BA" w14:textId="77777777" w:rsidR="008E15ED" w:rsidRPr="00ED3DDF" w:rsidRDefault="008E15ED" w:rsidP="008115DE">
      <w:pPr>
        <w:pStyle w:val="ListParagraph"/>
        <w:numPr>
          <w:ilvl w:val="0"/>
          <w:numId w:val="23"/>
        </w:numPr>
        <w:rPr>
          <w:rFonts w:ascii="Arial" w:hAnsi="Arial" w:cs="Arial"/>
          <w:sz w:val="24"/>
          <w:szCs w:val="24"/>
        </w:rPr>
      </w:pPr>
      <w:r w:rsidRPr="00ED3DDF">
        <w:rPr>
          <w:rFonts w:ascii="Arial" w:hAnsi="Arial" w:cs="Arial"/>
          <w:sz w:val="24"/>
          <w:szCs w:val="24"/>
        </w:rPr>
        <w:t xml:space="preserve">43% of respondents had </w:t>
      </w:r>
      <w:r w:rsidR="009E1F94">
        <w:rPr>
          <w:rFonts w:ascii="Arial" w:hAnsi="Arial" w:cs="Arial"/>
          <w:sz w:val="24"/>
          <w:szCs w:val="24"/>
        </w:rPr>
        <w:t xml:space="preserve">a </w:t>
      </w:r>
      <w:r w:rsidRPr="00ED3DDF">
        <w:rPr>
          <w:rFonts w:ascii="Arial" w:hAnsi="Arial" w:cs="Arial"/>
          <w:sz w:val="24"/>
          <w:szCs w:val="24"/>
        </w:rPr>
        <w:t>return on assets below inflation, meaning that they are not maintaining the real value of their asset base.</w:t>
      </w:r>
      <w:bookmarkStart w:id="57" w:name="_Toc403038219"/>
    </w:p>
    <w:p w14:paraId="1209C5EE" w14:textId="77777777" w:rsidR="00CE521F" w:rsidRPr="00133CFB" w:rsidRDefault="00CE521F" w:rsidP="001F094B">
      <w:pPr>
        <w:pStyle w:val="Heading2"/>
      </w:pPr>
      <w:bookmarkStart w:id="58" w:name="_Toc404089912"/>
      <w:r w:rsidRPr="00133CFB">
        <w:t>Human resources</w:t>
      </w:r>
      <w:bookmarkEnd w:id="57"/>
      <w:bookmarkEnd w:id="58"/>
    </w:p>
    <w:p w14:paraId="1BFAE8D5" w14:textId="77777777" w:rsidR="001538B9" w:rsidRPr="00133CFB" w:rsidRDefault="00CE521F" w:rsidP="001538B9">
      <w:pPr>
        <w:rPr>
          <w:rFonts w:ascii="Arial" w:hAnsi="Arial" w:cs="Arial"/>
          <w:sz w:val="24"/>
          <w:szCs w:val="24"/>
        </w:rPr>
      </w:pPr>
      <w:r w:rsidRPr="00133CFB">
        <w:rPr>
          <w:rFonts w:ascii="Arial" w:hAnsi="Arial" w:cs="Arial"/>
          <w:sz w:val="24"/>
          <w:szCs w:val="24"/>
        </w:rPr>
        <w:t xml:space="preserve">Two thirds of respondents </w:t>
      </w:r>
      <w:r w:rsidR="00D55A6B">
        <w:rPr>
          <w:rFonts w:ascii="Arial" w:hAnsi="Arial" w:cs="Arial"/>
          <w:sz w:val="24"/>
          <w:szCs w:val="24"/>
        </w:rPr>
        <w:t xml:space="preserve">to the Business Confidence </w:t>
      </w:r>
      <w:r w:rsidR="00C534D6">
        <w:rPr>
          <w:rFonts w:ascii="Arial" w:hAnsi="Arial" w:cs="Arial"/>
          <w:sz w:val="24"/>
          <w:szCs w:val="24"/>
        </w:rPr>
        <w:t>Survey</w:t>
      </w:r>
      <w:r w:rsidR="00D55A6B">
        <w:rPr>
          <w:rFonts w:ascii="Arial" w:hAnsi="Arial" w:cs="Arial"/>
          <w:sz w:val="24"/>
          <w:szCs w:val="24"/>
        </w:rPr>
        <w:t xml:space="preserve"> say</w:t>
      </w:r>
      <w:r w:rsidRPr="00133CFB">
        <w:rPr>
          <w:rFonts w:ascii="Arial" w:hAnsi="Arial" w:cs="Arial"/>
          <w:sz w:val="24"/>
          <w:szCs w:val="24"/>
        </w:rPr>
        <w:t xml:space="preserve"> they had difficulty recruiting competent leaders and managers over the previous six months, </w:t>
      </w:r>
      <w:r w:rsidR="001538B9" w:rsidRPr="00133CFB">
        <w:rPr>
          <w:rFonts w:ascii="Arial" w:hAnsi="Arial" w:cs="Arial"/>
          <w:sz w:val="24"/>
          <w:szCs w:val="24"/>
        </w:rPr>
        <w:t xml:space="preserve">and </w:t>
      </w:r>
      <w:r w:rsidR="001538B9">
        <w:rPr>
          <w:rFonts w:ascii="Arial" w:hAnsi="Arial" w:cs="Arial"/>
          <w:sz w:val="24"/>
          <w:szCs w:val="24"/>
        </w:rPr>
        <w:t>a similar proportion</w:t>
      </w:r>
      <w:r w:rsidR="001538B9" w:rsidRPr="00133CFB">
        <w:rPr>
          <w:rFonts w:ascii="Arial" w:hAnsi="Arial" w:cs="Arial"/>
          <w:sz w:val="24"/>
          <w:szCs w:val="24"/>
        </w:rPr>
        <w:t xml:space="preserve"> expect </w:t>
      </w:r>
      <w:r w:rsidR="001538B9">
        <w:rPr>
          <w:rFonts w:ascii="Arial" w:hAnsi="Arial" w:cs="Arial"/>
          <w:sz w:val="24"/>
          <w:szCs w:val="24"/>
        </w:rPr>
        <w:t>this</w:t>
      </w:r>
      <w:r w:rsidR="001538B9" w:rsidRPr="00133CFB">
        <w:rPr>
          <w:rFonts w:ascii="Arial" w:hAnsi="Arial" w:cs="Arial"/>
          <w:sz w:val="24"/>
          <w:szCs w:val="24"/>
        </w:rPr>
        <w:t xml:space="preserve"> to continue over the next six months. They also cite concerns about recruiting competent directors and management committee members, with two thirds stating they expect it to be difficult to recruit for governance positions. </w:t>
      </w:r>
    </w:p>
    <w:p w14:paraId="03C2F967" w14:textId="77777777" w:rsidR="001538B9" w:rsidRPr="00133CFB" w:rsidRDefault="001538B9" w:rsidP="001538B9">
      <w:pPr>
        <w:rPr>
          <w:rFonts w:ascii="Arial" w:hAnsi="Arial" w:cs="Arial"/>
          <w:sz w:val="24"/>
          <w:szCs w:val="24"/>
        </w:rPr>
      </w:pPr>
      <w:r>
        <w:rPr>
          <w:rFonts w:ascii="Arial" w:hAnsi="Arial" w:cs="Arial"/>
          <w:sz w:val="24"/>
          <w:szCs w:val="24"/>
        </w:rPr>
        <w:t>More respondents expect difficulty retaining staff in the next six months than experienced it in the past six months, with the most difficulty expected among casual staff (48%) and volunteers (45%).</w:t>
      </w:r>
    </w:p>
    <w:p w14:paraId="69E6A138" w14:textId="77777777" w:rsidR="001538B9" w:rsidRPr="00133CFB" w:rsidRDefault="001538B9" w:rsidP="001F094B">
      <w:pPr>
        <w:pStyle w:val="Heading2"/>
      </w:pPr>
      <w:bookmarkStart w:id="59" w:name="_Toc403038220"/>
      <w:bookmarkStart w:id="60" w:name="_Toc404089913"/>
      <w:r w:rsidRPr="00133CFB">
        <w:t>Organisation</w:t>
      </w:r>
      <w:r w:rsidRPr="00133CFB">
        <w:rPr>
          <w:rStyle w:val="Heading3Char"/>
          <w:rFonts w:ascii="Arial" w:hAnsi="Arial" w:cs="Arial"/>
        </w:rPr>
        <w:t xml:space="preserve"> </w:t>
      </w:r>
      <w:r w:rsidRPr="00133CFB">
        <w:t>infrastructure</w:t>
      </w:r>
      <w:bookmarkEnd w:id="59"/>
      <w:bookmarkEnd w:id="60"/>
    </w:p>
    <w:p w14:paraId="4FC3DDC3" w14:textId="77777777" w:rsidR="00CE521F" w:rsidRPr="00133CFB" w:rsidRDefault="001538B9" w:rsidP="001538B9">
      <w:pPr>
        <w:rPr>
          <w:rFonts w:ascii="Arial" w:hAnsi="Arial" w:cs="Arial"/>
          <w:sz w:val="24"/>
          <w:szCs w:val="24"/>
        </w:rPr>
      </w:pPr>
      <w:r>
        <w:rPr>
          <w:rFonts w:ascii="Arial" w:hAnsi="Arial" w:cs="Arial"/>
          <w:sz w:val="24"/>
          <w:szCs w:val="24"/>
        </w:rPr>
        <w:t>Around h</w:t>
      </w:r>
      <w:r w:rsidR="00D55A6B">
        <w:rPr>
          <w:rFonts w:ascii="Arial" w:hAnsi="Arial" w:cs="Arial"/>
          <w:sz w:val="24"/>
          <w:szCs w:val="24"/>
        </w:rPr>
        <w:t>alf of respondents lack</w:t>
      </w:r>
      <w:r w:rsidRPr="00133CFB">
        <w:rPr>
          <w:rFonts w:ascii="Arial" w:hAnsi="Arial" w:cs="Arial"/>
          <w:sz w:val="24"/>
          <w:szCs w:val="24"/>
        </w:rPr>
        <w:t xml:space="preserve"> the internal capacity </w:t>
      </w:r>
      <w:r>
        <w:rPr>
          <w:rFonts w:ascii="Arial" w:hAnsi="Arial" w:cs="Arial"/>
          <w:sz w:val="24"/>
          <w:szCs w:val="24"/>
        </w:rPr>
        <w:t xml:space="preserve">(51%) or </w:t>
      </w:r>
      <w:r w:rsidRPr="00133CFB">
        <w:rPr>
          <w:rFonts w:ascii="Arial" w:hAnsi="Arial" w:cs="Arial"/>
          <w:sz w:val="24"/>
          <w:szCs w:val="24"/>
        </w:rPr>
        <w:t>ICT</w:t>
      </w:r>
      <w:r>
        <w:rPr>
          <w:rFonts w:ascii="Arial" w:hAnsi="Arial" w:cs="Arial"/>
          <w:sz w:val="24"/>
          <w:szCs w:val="24"/>
        </w:rPr>
        <w:t xml:space="preserve"> (49%)</w:t>
      </w:r>
      <w:r w:rsidRPr="00133CFB">
        <w:rPr>
          <w:rFonts w:ascii="Arial" w:hAnsi="Arial" w:cs="Arial"/>
          <w:sz w:val="24"/>
          <w:szCs w:val="24"/>
        </w:rPr>
        <w:t xml:space="preserve"> needed to improve services, </w:t>
      </w:r>
      <w:r>
        <w:rPr>
          <w:rFonts w:ascii="Arial" w:hAnsi="Arial" w:cs="Arial"/>
          <w:sz w:val="24"/>
          <w:szCs w:val="24"/>
        </w:rPr>
        <w:t>but a lower</w:t>
      </w:r>
      <w:r w:rsidR="00D55A6B">
        <w:rPr>
          <w:rFonts w:ascii="Arial" w:hAnsi="Arial" w:cs="Arial"/>
          <w:sz w:val="24"/>
          <w:szCs w:val="24"/>
        </w:rPr>
        <w:t xml:space="preserve"> proportion expect</w:t>
      </w:r>
      <w:r w:rsidRPr="00133CFB">
        <w:rPr>
          <w:rFonts w:ascii="Arial" w:hAnsi="Arial" w:cs="Arial"/>
          <w:sz w:val="24"/>
          <w:szCs w:val="24"/>
        </w:rPr>
        <w:t xml:space="preserve"> these barriers to continue over the next </w:t>
      </w:r>
      <w:r>
        <w:rPr>
          <w:rFonts w:ascii="Arial" w:hAnsi="Arial" w:cs="Arial"/>
          <w:sz w:val="24"/>
          <w:szCs w:val="24"/>
        </w:rPr>
        <w:t>six</w:t>
      </w:r>
      <w:r w:rsidR="00D55A6B">
        <w:rPr>
          <w:rFonts w:ascii="Arial" w:hAnsi="Arial" w:cs="Arial"/>
          <w:sz w:val="24"/>
          <w:szCs w:val="24"/>
        </w:rPr>
        <w:t xml:space="preserve"> months. About a third report</w:t>
      </w:r>
      <w:r w:rsidRPr="00133CFB">
        <w:rPr>
          <w:rFonts w:ascii="Arial" w:hAnsi="Arial" w:cs="Arial"/>
          <w:sz w:val="24"/>
          <w:szCs w:val="24"/>
        </w:rPr>
        <w:t xml:space="preserve"> lack of space to operate as a constraint.</w:t>
      </w:r>
    </w:p>
    <w:p w14:paraId="281F601A" w14:textId="77777777" w:rsidR="00CE521F" w:rsidRPr="00133CFB" w:rsidRDefault="00CE521F" w:rsidP="001F094B">
      <w:pPr>
        <w:pStyle w:val="Heading2"/>
      </w:pPr>
      <w:bookmarkStart w:id="61" w:name="_Toc403038221"/>
      <w:bookmarkStart w:id="62" w:name="_Toc404089914"/>
      <w:r w:rsidRPr="00133CFB">
        <w:t>Conclusion</w:t>
      </w:r>
      <w:bookmarkEnd w:id="61"/>
      <w:bookmarkEnd w:id="62"/>
    </w:p>
    <w:p w14:paraId="56B68C40" w14:textId="77777777" w:rsidR="00CE521F" w:rsidRPr="00133CFB" w:rsidRDefault="00CE521F" w:rsidP="004E7B04">
      <w:pPr>
        <w:rPr>
          <w:rFonts w:ascii="Arial" w:hAnsi="Arial" w:cs="Arial"/>
          <w:sz w:val="24"/>
          <w:szCs w:val="24"/>
        </w:rPr>
      </w:pPr>
      <w:r w:rsidRPr="00133CFB">
        <w:rPr>
          <w:rFonts w:ascii="Arial" w:hAnsi="Arial" w:cs="Arial"/>
          <w:sz w:val="24"/>
          <w:szCs w:val="24"/>
        </w:rPr>
        <w:t>The strong performance a</w:t>
      </w:r>
      <w:r w:rsidR="005D0A52">
        <w:rPr>
          <w:rFonts w:ascii="Arial" w:hAnsi="Arial" w:cs="Arial"/>
          <w:sz w:val="24"/>
          <w:szCs w:val="24"/>
        </w:rPr>
        <w:t xml:space="preserve">nd confidence of respondents </w:t>
      </w:r>
      <w:r w:rsidR="00D55A6B">
        <w:rPr>
          <w:rFonts w:ascii="Arial" w:hAnsi="Arial" w:cs="Arial"/>
          <w:sz w:val="24"/>
          <w:szCs w:val="24"/>
        </w:rPr>
        <w:t>are</w:t>
      </w:r>
      <w:r w:rsidRPr="00133CFB">
        <w:rPr>
          <w:rFonts w:ascii="Arial" w:hAnsi="Arial" w:cs="Arial"/>
          <w:sz w:val="24"/>
          <w:szCs w:val="24"/>
        </w:rPr>
        <w:t xml:space="preserve"> supported by organisations reporting an increase in demand and the adoption of growth strateg</w:t>
      </w:r>
      <w:r w:rsidR="00D55A6B">
        <w:rPr>
          <w:rFonts w:ascii="Arial" w:hAnsi="Arial" w:cs="Arial"/>
          <w:sz w:val="24"/>
          <w:szCs w:val="24"/>
        </w:rPr>
        <w:t>ies. Organisations also report</w:t>
      </w:r>
      <w:r w:rsidRPr="00133CFB">
        <w:rPr>
          <w:rFonts w:ascii="Arial" w:hAnsi="Arial" w:cs="Arial"/>
          <w:sz w:val="24"/>
          <w:szCs w:val="24"/>
        </w:rPr>
        <w:t xml:space="preserve"> increasing competition, involvement in formal collaborations and strength of relationships. </w:t>
      </w:r>
    </w:p>
    <w:p w14:paraId="342F660B" w14:textId="77777777" w:rsidR="00BA7D02" w:rsidRPr="00133CFB" w:rsidRDefault="00CE521F" w:rsidP="00AB61F1">
      <w:pPr>
        <w:rPr>
          <w:rFonts w:ascii="Arial" w:hAnsi="Arial" w:cs="Arial"/>
          <w:sz w:val="24"/>
          <w:szCs w:val="24"/>
        </w:rPr>
      </w:pPr>
      <w:r w:rsidRPr="00133CFB">
        <w:rPr>
          <w:rFonts w:ascii="Arial" w:hAnsi="Arial" w:cs="Arial"/>
          <w:sz w:val="24"/>
          <w:szCs w:val="24"/>
        </w:rPr>
        <w:lastRenderedPageBreak/>
        <w:t>The positive results are perhaps surprising</w:t>
      </w:r>
      <w:r w:rsidR="00ED3DDF">
        <w:rPr>
          <w:rFonts w:ascii="Arial" w:hAnsi="Arial" w:cs="Arial"/>
          <w:sz w:val="24"/>
          <w:szCs w:val="24"/>
        </w:rPr>
        <w:t>,</w:t>
      </w:r>
      <w:r w:rsidRPr="00133CFB">
        <w:rPr>
          <w:rFonts w:ascii="Arial" w:hAnsi="Arial" w:cs="Arial"/>
          <w:sz w:val="24"/>
          <w:szCs w:val="24"/>
        </w:rPr>
        <w:t xml:space="preserve"> given the volatility in the op</w:t>
      </w:r>
      <w:r w:rsidR="00ED3DDF">
        <w:rPr>
          <w:rFonts w:ascii="Arial" w:hAnsi="Arial" w:cs="Arial"/>
          <w:sz w:val="24"/>
          <w:szCs w:val="24"/>
        </w:rPr>
        <w:t>erating environment for all not-</w:t>
      </w:r>
      <w:r w:rsidRPr="00133CFB">
        <w:rPr>
          <w:rFonts w:ascii="Arial" w:hAnsi="Arial" w:cs="Arial"/>
          <w:sz w:val="24"/>
          <w:szCs w:val="24"/>
        </w:rPr>
        <w:t>for</w:t>
      </w:r>
      <w:r w:rsidR="00ED3DDF">
        <w:rPr>
          <w:rFonts w:ascii="Arial" w:hAnsi="Arial" w:cs="Arial"/>
          <w:sz w:val="24"/>
          <w:szCs w:val="24"/>
        </w:rPr>
        <w:t>-</w:t>
      </w:r>
      <w:r w:rsidRPr="00133CFB">
        <w:rPr>
          <w:rFonts w:ascii="Arial" w:hAnsi="Arial" w:cs="Arial"/>
          <w:sz w:val="24"/>
          <w:szCs w:val="24"/>
        </w:rPr>
        <w:t>profit organisations and the significant changes in the disability services sector. The biggest challenges relate to government policy, income volatility, human capital and organisational infrastructure.</w:t>
      </w:r>
      <w:r w:rsidR="00172506" w:rsidRPr="00133CFB">
        <w:rPr>
          <w:rFonts w:ascii="Arial" w:eastAsiaTheme="majorEastAsia" w:hAnsi="Arial" w:cs="Arial"/>
          <w:b/>
          <w:bCs/>
          <w:sz w:val="28"/>
          <w:szCs w:val="26"/>
        </w:rPr>
        <w:t xml:space="preserve"> </w:t>
      </w:r>
      <w:r w:rsidR="00BA7D02" w:rsidRPr="00133CFB">
        <w:rPr>
          <w:rFonts w:ascii="Arial" w:hAnsi="Arial" w:cs="Arial"/>
          <w:sz w:val="24"/>
          <w:szCs w:val="24"/>
        </w:rPr>
        <w:br w:type="page"/>
      </w:r>
    </w:p>
    <w:p w14:paraId="196A71F7" w14:textId="77777777" w:rsidR="00442EAB" w:rsidRDefault="00030563" w:rsidP="00143028">
      <w:pPr>
        <w:pStyle w:val="Heading1"/>
      </w:pPr>
      <w:bookmarkStart w:id="63" w:name="_Toc405797899"/>
      <w:r w:rsidRPr="00133CFB">
        <w:lastRenderedPageBreak/>
        <w:t xml:space="preserve">The </w:t>
      </w:r>
      <w:r w:rsidR="006C2878">
        <w:t>National Disability Insurance Scheme</w:t>
      </w:r>
      <w:r w:rsidR="00031F51">
        <w:t xml:space="preserve"> (NDIS)</w:t>
      </w:r>
      <w:bookmarkEnd w:id="63"/>
      <w:r w:rsidR="00442EAB" w:rsidRPr="00133CFB">
        <w:t xml:space="preserve"> </w:t>
      </w:r>
      <w:bookmarkStart w:id="64" w:name="_Toc402940516"/>
      <w:bookmarkStart w:id="65" w:name="_Toc403038201"/>
      <w:bookmarkStart w:id="66" w:name="_Toc403043402"/>
      <w:bookmarkStart w:id="67" w:name="_Toc403043486"/>
      <w:bookmarkStart w:id="68" w:name="_Toc403043570"/>
      <w:bookmarkStart w:id="69" w:name="_Toc403043660"/>
      <w:bookmarkStart w:id="70" w:name="_Toc403047766"/>
      <w:bookmarkStart w:id="71" w:name="_Toc403051741"/>
      <w:bookmarkStart w:id="72" w:name="_Toc403317271"/>
      <w:bookmarkStart w:id="73" w:name="_Toc403317580"/>
      <w:bookmarkStart w:id="74" w:name="_Toc403318292"/>
      <w:bookmarkStart w:id="75" w:name="_Toc403318363"/>
      <w:bookmarkStart w:id="76" w:name="_Toc403318396"/>
      <w:bookmarkStart w:id="77" w:name="_Toc403319807"/>
      <w:bookmarkStart w:id="78" w:name="_Toc403319863"/>
      <w:bookmarkStart w:id="79" w:name="_Toc403332090"/>
      <w:bookmarkStart w:id="80" w:name="_Toc403895974"/>
      <w:bookmarkStart w:id="81" w:name="_Toc403896041"/>
      <w:bookmarkStart w:id="82" w:name="_Toc403897073"/>
      <w:bookmarkStart w:id="83" w:name="_Toc403900488"/>
      <w:bookmarkStart w:id="84" w:name="_Toc403900587"/>
      <w:bookmarkStart w:id="85" w:name="_Toc403900659"/>
      <w:bookmarkStart w:id="86" w:name="_Toc403900961"/>
      <w:bookmarkStart w:id="87" w:name="_Toc404000296"/>
      <w:bookmarkStart w:id="88" w:name="_Toc404000388"/>
      <w:bookmarkStart w:id="89" w:name="_Toc404000575"/>
      <w:bookmarkStart w:id="90" w:name="_Toc404000641"/>
      <w:bookmarkStart w:id="91" w:name="_Toc404089607"/>
      <w:bookmarkStart w:id="92" w:name="_Toc404089672"/>
      <w:bookmarkStart w:id="93" w:name="_Toc404089738"/>
      <w:bookmarkStart w:id="94" w:name="_Toc404089852"/>
      <w:bookmarkStart w:id="95" w:name="_Toc40408991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3A2CC86" w14:textId="77777777" w:rsidR="00442EAB" w:rsidRPr="00133CFB" w:rsidRDefault="00133CFB" w:rsidP="001F094B">
      <w:pPr>
        <w:pStyle w:val="Heading2"/>
      </w:pPr>
      <w:bookmarkStart w:id="96" w:name="_Toc404089917"/>
      <w:r>
        <w:t>The rollo</w:t>
      </w:r>
      <w:r w:rsidR="00030563" w:rsidRPr="00133CFB">
        <w:t>ut</w:t>
      </w:r>
      <w:bookmarkEnd w:id="96"/>
    </w:p>
    <w:p w14:paraId="378D0892" w14:textId="77777777" w:rsidR="00442EAB" w:rsidRPr="00133CFB" w:rsidRDefault="00442EAB" w:rsidP="004E7B04">
      <w:pPr>
        <w:rPr>
          <w:rFonts w:ascii="Arial" w:hAnsi="Arial" w:cs="Arial"/>
          <w:sz w:val="24"/>
          <w:szCs w:val="24"/>
        </w:rPr>
      </w:pPr>
      <w:r w:rsidRPr="00133CFB">
        <w:rPr>
          <w:rFonts w:ascii="Arial" w:hAnsi="Arial" w:cs="Arial"/>
          <w:sz w:val="24"/>
          <w:szCs w:val="24"/>
        </w:rPr>
        <w:t xml:space="preserve">Now launched in trial sites in seven states and territories, the NDIS is in a critical phase of testing and development. </w:t>
      </w:r>
    </w:p>
    <w:p w14:paraId="388EA55A" w14:textId="77777777" w:rsidR="00442EAB" w:rsidRDefault="00442EAB" w:rsidP="004E7B04">
      <w:pPr>
        <w:rPr>
          <w:rFonts w:ascii="Arial" w:hAnsi="Arial" w:cs="Arial"/>
          <w:b/>
          <w:color w:val="44546A" w:themeColor="text2"/>
          <w:sz w:val="24"/>
          <w:szCs w:val="24"/>
        </w:rPr>
      </w:pPr>
      <w:r w:rsidRPr="00133CFB">
        <w:rPr>
          <w:rFonts w:ascii="Arial" w:hAnsi="Arial" w:cs="Arial"/>
          <w:color w:val="44546A" w:themeColor="text2"/>
          <w:sz w:val="24"/>
          <w:szCs w:val="24"/>
        </w:rPr>
        <w:t>“The disability sector campaigned hard to win political support for the NDIS, and expectations are high of the benefits it will bring. Enthusiasm for the reform vision, however, is mixed with frustration from the trial sites and uncertainty about key elements of the design”</w:t>
      </w:r>
      <w:r w:rsidR="009E1F94">
        <w:rPr>
          <w:rFonts w:ascii="Arial" w:hAnsi="Arial" w:cs="Arial"/>
          <w:color w:val="44546A" w:themeColor="text2"/>
          <w:sz w:val="24"/>
          <w:szCs w:val="24"/>
        </w:rPr>
        <w:t xml:space="preserve"> –</w:t>
      </w:r>
      <w:r w:rsidRPr="00133CFB">
        <w:rPr>
          <w:rFonts w:ascii="Arial" w:hAnsi="Arial" w:cs="Arial"/>
          <w:color w:val="44546A" w:themeColor="text2"/>
          <w:sz w:val="24"/>
          <w:szCs w:val="24"/>
        </w:rPr>
        <w:t xml:space="preserve"> Ken Baker</w:t>
      </w:r>
      <w:r w:rsidRPr="00133CFB">
        <w:rPr>
          <w:rFonts w:ascii="Arial" w:hAnsi="Arial" w:cs="Arial"/>
          <w:b/>
          <w:color w:val="44546A" w:themeColor="text2"/>
          <w:sz w:val="24"/>
          <w:szCs w:val="24"/>
        </w:rPr>
        <w:t xml:space="preserve"> </w:t>
      </w:r>
    </w:p>
    <w:p w14:paraId="536A3F24" w14:textId="77777777" w:rsidR="00B61CA0" w:rsidRPr="00133CFB" w:rsidRDefault="00B61CA0" w:rsidP="00B61CA0">
      <w:pPr>
        <w:pStyle w:val="Subtitle"/>
      </w:pPr>
      <w:r>
        <w:t xml:space="preserve">Figure </w:t>
      </w:r>
      <w:r w:rsidR="00E86B36">
        <w:t>5</w:t>
      </w:r>
      <w:r>
        <w:t xml:space="preserve">: </w:t>
      </w:r>
      <w:r w:rsidR="009E1F94">
        <w:t xml:space="preserve">predicted </w:t>
      </w:r>
      <w:r>
        <w:t>stages of the NDIS rollout</w:t>
      </w:r>
    </w:p>
    <w:p w14:paraId="2E0532ED" w14:textId="77777777" w:rsidR="00B61CA0" w:rsidRPr="00B61CA0" w:rsidRDefault="00CF5940" w:rsidP="00A751E3">
      <w:pPr>
        <w:pStyle w:val="Subtitle"/>
      </w:pPr>
      <w:bookmarkStart w:id="97" w:name="_Toc403038203"/>
      <w:bookmarkStart w:id="98" w:name="_Toc403051743"/>
      <w:bookmarkStart w:id="99" w:name="_Toc404089918"/>
      <w:r>
        <w:rPr>
          <w:noProof/>
          <w:lang w:eastAsia="en-AU"/>
        </w:rPr>
        <w:drawing>
          <wp:inline distT="0" distB="0" distL="0" distR="0" wp14:anchorId="69B94F09" wp14:editId="0519F46C">
            <wp:extent cx="5731510" cy="1131606"/>
            <wp:effectExtent l="0" t="0" r="2540" b="0"/>
            <wp:docPr id="12" name="Picture 12" descr="A timeline showing: At 2015, Rollout plans announced, STAGE ONE. At Mid-2016, End Stage 1: NDIS tested and developed. STAGE TWO. At Mid-2019, End Stage 2: Ambitious growth." title="Figure 5: predicted stages of the NDIS rol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1131606"/>
                    </a:xfrm>
                    <a:prstGeom prst="rect">
                      <a:avLst/>
                    </a:prstGeom>
                  </pic:spPr>
                </pic:pic>
              </a:graphicData>
            </a:graphic>
          </wp:inline>
        </w:drawing>
      </w:r>
    </w:p>
    <w:p w14:paraId="187F88B0" w14:textId="77777777" w:rsidR="00030563" w:rsidRDefault="00030563" w:rsidP="001F094B">
      <w:pPr>
        <w:pStyle w:val="Heading2"/>
      </w:pPr>
      <w:r w:rsidRPr="00133CFB">
        <w:t>What w</w:t>
      </w:r>
      <w:r w:rsidR="00B3266C" w:rsidRPr="00133CFB">
        <w:t xml:space="preserve">e </w:t>
      </w:r>
      <w:r w:rsidR="00B61CA0">
        <w:t xml:space="preserve">can </w:t>
      </w:r>
      <w:r w:rsidR="00B3266C" w:rsidRPr="00133CFB">
        <w:t xml:space="preserve">expect </w:t>
      </w:r>
      <w:r w:rsidR="00953976">
        <w:t>i</w:t>
      </w:r>
      <w:r w:rsidRPr="00133CFB">
        <w:t>n 2015</w:t>
      </w:r>
      <w:bookmarkEnd w:id="97"/>
      <w:bookmarkEnd w:id="98"/>
      <w:bookmarkEnd w:id="99"/>
    </w:p>
    <w:p w14:paraId="6FAB9290" w14:textId="77777777" w:rsidR="00030563" w:rsidRPr="00133CFB" w:rsidRDefault="00030563" w:rsidP="004E7B04">
      <w:pPr>
        <w:rPr>
          <w:rFonts w:ascii="Arial" w:hAnsi="Arial" w:cs="Arial"/>
          <w:sz w:val="24"/>
          <w:szCs w:val="24"/>
        </w:rPr>
      </w:pPr>
      <w:r w:rsidRPr="00133CFB">
        <w:rPr>
          <w:rFonts w:ascii="Arial" w:hAnsi="Arial" w:cs="Arial"/>
          <w:sz w:val="24"/>
          <w:szCs w:val="24"/>
        </w:rPr>
        <w:t xml:space="preserve">Coming months will see significant further work on key elements of the NDIS design: </w:t>
      </w:r>
    </w:p>
    <w:p w14:paraId="24229B38" w14:textId="77777777" w:rsidR="00030563" w:rsidRPr="00133CFB" w:rsidRDefault="00030563" w:rsidP="008115DE">
      <w:pPr>
        <w:pStyle w:val="ListParagraph"/>
        <w:numPr>
          <w:ilvl w:val="0"/>
          <w:numId w:val="2"/>
        </w:numPr>
        <w:rPr>
          <w:rFonts w:ascii="Arial" w:hAnsi="Arial" w:cs="Arial"/>
          <w:sz w:val="24"/>
          <w:szCs w:val="24"/>
        </w:rPr>
      </w:pPr>
      <w:r w:rsidRPr="00133CFB">
        <w:rPr>
          <w:rFonts w:ascii="Arial" w:hAnsi="Arial" w:cs="Arial"/>
          <w:b/>
          <w:sz w:val="24"/>
          <w:szCs w:val="24"/>
        </w:rPr>
        <w:t>Tier 2:</w:t>
      </w:r>
      <w:r w:rsidRPr="00133CFB">
        <w:rPr>
          <w:rFonts w:ascii="Arial" w:hAnsi="Arial" w:cs="Arial"/>
          <w:sz w:val="24"/>
          <w:szCs w:val="24"/>
        </w:rPr>
        <w:t xml:space="preserve"> </w:t>
      </w:r>
      <w:r w:rsidR="009E1F94">
        <w:rPr>
          <w:rFonts w:ascii="Arial" w:hAnsi="Arial" w:cs="Arial"/>
          <w:sz w:val="24"/>
          <w:szCs w:val="24"/>
        </w:rPr>
        <w:t>t</w:t>
      </w:r>
      <w:r w:rsidRPr="00133CFB">
        <w:rPr>
          <w:rFonts w:ascii="Arial" w:hAnsi="Arial" w:cs="Arial"/>
          <w:sz w:val="24"/>
          <w:szCs w:val="24"/>
        </w:rPr>
        <w:t>his is important for people who do not qualify for an individual support package but require some disability support, and for services that cannot sensibly or efficiently be funded through charging individuals.</w:t>
      </w:r>
    </w:p>
    <w:p w14:paraId="5EA98564" w14:textId="77777777" w:rsidR="00030563" w:rsidRPr="00133CFB" w:rsidRDefault="00030563" w:rsidP="008115DE">
      <w:pPr>
        <w:pStyle w:val="ListParagraph"/>
        <w:numPr>
          <w:ilvl w:val="0"/>
          <w:numId w:val="2"/>
        </w:numPr>
        <w:rPr>
          <w:rFonts w:ascii="Arial" w:hAnsi="Arial" w:cs="Arial"/>
          <w:sz w:val="24"/>
          <w:szCs w:val="24"/>
        </w:rPr>
      </w:pPr>
      <w:r w:rsidRPr="00133CFB">
        <w:rPr>
          <w:rFonts w:ascii="Arial" w:hAnsi="Arial" w:cs="Arial"/>
          <w:b/>
          <w:sz w:val="24"/>
          <w:szCs w:val="24"/>
        </w:rPr>
        <w:t>System interfaces</w:t>
      </w:r>
      <w:r w:rsidRPr="00133CFB">
        <w:rPr>
          <w:rFonts w:ascii="Arial" w:hAnsi="Arial" w:cs="Arial"/>
          <w:sz w:val="24"/>
          <w:szCs w:val="24"/>
        </w:rPr>
        <w:t>: the Council of Australian Governments has agreed on principles that define responsibilities between the NDIS and other service systems, such as health, mental health, education and transport. In practice, however, there are demarcation disputes that require resolution.</w:t>
      </w:r>
    </w:p>
    <w:p w14:paraId="286F2333" w14:textId="77777777" w:rsidR="00030563" w:rsidRPr="00133CFB" w:rsidRDefault="00030563" w:rsidP="008115DE">
      <w:pPr>
        <w:pStyle w:val="ListParagraph"/>
        <w:numPr>
          <w:ilvl w:val="0"/>
          <w:numId w:val="2"/>
        </w:numPr>
        <w:rPr>
          <w:rFonts w:ascii="Arial" w:hAnsi="Arial" w:cs="Arial"/>
          <w:sz w:val="24"/>
          <w:szCs w:val="24"/>
        </w:rPr>
      </w:pPr>
      <w:r w:rsidRPr="00133CFB">
        <w:rPr>
          <w:rFonts w:ascii="Arial" w:hAnsi="Arial" w:cs="Arial"/>
          <w:b/>
          <w:sz w:val="24"/>
          <w:szCs w:val="24"/>
        </w:rPr>
        <w:t>Housing:</w:t>
      </w:r>
      <w:r w:rsidRPr="00133CFB">
        <w:rPr>
          <w:rFonts w:ascii="Arial" w:hAnsi="Arial" w:cs="Arial"/>
          <w:sz w:val="24"/>
          <w:szCs w:val="24"/>
        </w:rPr>
        <w:t xml:space="preserve"> the demand for accommodation support will not be met without a significant increase in housing supply. The NDIA is seeking advice on how to invest up to $700 million a year to stimulate housing supply without becoming a property developer. </w:t>
      </w:r>
    </w:p>
    <w:p w14:paraId="4AA61526" w14:textId="77777777" w:rsidR="00030563" w:rsidRPr="00133CFB" w:rsidRDefault="00030563" w:rsidP="008115DE">
      <w:pPr>
        <w:pStyle w:val="ListParagraph"/>
        <w:numPr>
          <w:ilvl w:val="0"/>
          <w:numId w:val="2"/>
        </w:numPr>
        <w:rPr>
          <w:rFonts w:ascii="Arial" w:hAnsi="Arial" w:cs="Arial"/>
          <w:sz w:val="24"/>
          <w:szCs w:val="24"/>
        </w:rPr>
      </w:pPr>
      <w:r w:rsidRPr="00133CFB">
        <w:rPr>
          <w:rFonts w:ascii="Arial" w:hAnsi="Arial" w:cs="Arial"/>
          <w:b/>
          <w:sz w:val="24"/>
          <w:szCs w:val="24"/>
        </w:rPr>
        <w:t>Quality and safeguards</w:t>
      </w:r>
      <w:r w:rsidRPr="00133CFB">
        <w:rPr>
          <w:rFonts w:ascii="Arial" w:hAnsi="Arial" w:cs="Arial"/>
          <w:sz w:val="24"/>
          <w:szCs w:val="24"/>
        </w:rPr>
        <w:t>: at present the NDIS relies on existing state-based systems, but governments want a national risk-based regulatory framework that maintains minimum standards without unduly restricting contestability or choice.</w:t>
      </w:r>
    </w:p>
    <w:p w14:paraId="6086206E" w14:textId="77777777" w:rsidR="00030563" w:rsidRPr="00133CFB" w:rsidRDefault="00030563" w:rsidP="008115DE">
      <w:pPr>
        <w:pStyle w:val="ListParagraph"/>
        <w:numPr>
          <w:ilvl w:val="0"/>
          <w:numId w:val="2"/>
        </w:numPr>
        <w:rPr>
          <w:rFonts w:ascii="Arial" w:hAnsi="Arial" w:cs="Arial"/>
          <w:sz w:val="24"/>
          <w:szCs w:val="24"/>
        </w:rPr>
      </w:pPr>
      <w:r w:rsidRPr="00133CFB">
        <w:rPr>
          <w:rFonts w:ascii="Arial" w:hAnsi="Arial" w:cs="Arial"/>
          <w:b/>
          <w:sz w:val="24"/>
          <w:szCs w:val="24"/>
        </w:rPr>
        <w:t>The future market</w:t>
      </w:r>
      <w:r w:rsidRPr="00133CFB">
        <w:rPr>
          <w:rFonts w:ascii="Arial" w:hAnsi="Arial" w:cs="Arial"/>
          <w:sz w:val="24"/>
          <w:szCs w:val="24"/>
        </w:rPr>
        <w:t xml:space="preserve">: for participant choice to be meaningful, the disability support market must enable contestability, diversity and access to services and information across Australia. Retaining the not-for-profit sector’s capacity for social capital creation will also be crucial. </w:t>
      </w:r>
    </w:p>
    <w:p w14:paraId="1496FCB2" w14:textId="77777777" w:rsidR="002B6F70" w:rsidRPr="00133CFB" w:rsidRDefault="002B6F70" w:rsidP="004E7B04">
      <w:pPr>
        <w:spacing w:after="160" w:line="259" w:lineRule="auto"/>
        <w:rPr>
          <w:rFonts w:ascii="Arial" w:hAnsi="Arial" w:cs="Arial"/>
          <w:sz w:val="24"/>
          <w:szCs w:val="24"/>
        </w:rPr>
      </w:pPr>
      <w:r w:rsidRPr="00133CFB">
        <w:rPr>
          <w:rFonts w:ascii="Arial" w:hAnsi="Arial" w:cs="Arial"/>
          <w:sz w:val="24"/>
          <w:szCs w:val="24"/>
        </w:rPr>
        <w:br w:type="page"/>
      </w:r>
    </w:p>
    <w:p w14:paraId="7F68FF3E" w14:textId="77777777" w:rsidR="002B6F70" w:rsidRPr="00133CFB" w:rsidRDefault="002B6F70" w:rsidP="004E7B04">
      <w:pPr>
        <w:rPr>
          <w:rFonts w:ascii="Arial" w:hAnsi="Arial" w:cs="Arial"/>
          <w:sz w:val="24"/>
          <w:szCs w:val="24"/>
        </w:rPr>
        <w:sectPr w:rsidR="002B6F70" w:rsidRPr="00133CFB" w:rsidSect="00D16346">
          <w:footerReference w:type="default" r:id="rId18"/>
          <w:pgSz w:w="11906" w:h="16838"/>
          <w:pgMar w:top="1440" w:right="1440" w:bottom="1440" w:left="1440" w:header="708" w:footer="708" w:gutter="0"/>
          <w:cols w:space="708"/>
          <w:titlePg/>
          <w:docGrid w:linePitch="360"/>
        </w:sectPr>
      </w:pPr>
    </w:p>
    <w:p w14:paraId="7A14F1C5" w14:textId="77777777" w:rsidR="002B6F70" w:rsidRPr="00031F51" w:rsidRDefault="00E54DA4" w:rsidP="00447F2C">
      <w:pPr>
        <w:pStyle w:val="Subtitle"/>
      </w:pPr>
      <w:r>
        <w:lastRenderedPageBreak/>
        <w:t>Table 1</w:t>
      </w:r>
      <w:r w:rsidR="00C94B8A">
        <w:t>: h</w:t>
      </w:r>
      <w:r w:rsidR="00FB1546" w:rsidRPr="00031F51">
        <w:t>ot</w:t>
      </w:r>
      <w:r w:rsidR="00031F51" w:rsidRPr="00031F51">
        <w:t xml:space="preserve"> issues for the NDIS roll</w:t>
      </w:r>
      <w:r w:rsidR="002B6F70" w:rsidRPr="00031F51">
        <w:t>out</w:t>
      </w:r>
    </w:p>
    <w:tbl>
      <w:tblPr>
        <w:tblStyle w:val="TableGrid"/>
        <w:tblW w:w="14997" w:type="dxa"/>
        <w:tblInd w:w="-572" w:type="dxa"/>
        <w:tblLook w:val="04A0" w:firstRow="1" w:lastRow="0" w:firstColumn="1" w:lastColumn="0" w:noHBand="0" w:noVBand="1"/>
      </w:tblPr>
      <w:tblGrid>
        <w:gridCol w:w="1700"/>
        <w:gridCol w:w="6635"/>
        <w:gridCol w:w="6662"/>
      </w:tblGrid>
      <w:tr w:rsidR="00172506" w:rsidRPr="00133CFB" w14:paraId="12D06192" w14:textId="77777777" w:rsidTr="00E265E3">
        <w:trPr>
          <w:tblHeader/>
        </w:trPr>
        <w:tc>
          <w:tcPr>
            <w:tcW w:w="1700" w:type="dxa"/>
          </w:tcPr>
          <w:p w14:paraId="108C0356" w14:textId="77777777" w:rsidR="00172506" w:rsidRPr="00133CFB" w:rsidRDefault="00172506" w:rsidP="00603615">
            <w:pPr>
              <w:spacing w:line="276" w:lineRule="auto"/>
              <w:rPr>
                <w:rFonts w:ascii="Arial" w:hAnsi="Arial" w:cs="Arial"/>
                <w:sz w:val="24"/>
                <w:szCs w:val="24"/>
              </w:rPr>
            </w:pPr>
            <w:bookmarkStart w:id="100" w:name="Title"/>
            <w:bookmarkEnd w:id="100"/>
            <w:r w:rsidRPr="00133CFB">
              <w:rPr>
                <w:rFonts w:ascii="Arial" w:hAnsi="Arial" w:cs="Arial"/>
                <w:sz w:val="24"/>
                <w:szCs w:val="24"/>
              </w:rPr>
              <w:t>Issue</w:t>
            </w:r>
          </w:p>
        </w:tc>
        <w:tc>
          <w:tcPr>
            <w:tcW w:w="6635" w:type="dxa"/>
          </w:tcPr>
          <w:p w14:paraId="6668BBF4" w14:textId="77777777" w:rsidR="00172506" w:rsidRPr="00133CFB" w:rsidRDefault="00C94B8A" w:rsidP="00603615">
            <w:pPr>
              <w:spacing w:line="276" w:lineRule="auto"/>
              <w:rPr>
                <w:rFonts w:ascii="Arial" w:hAnsi="Arial" w:cs="Arial"/>
                <w:sz w:val="24"/>
                <w:szCs w:val="24"/>
              </w:rPr>
            </w:pPr>
            <w:r>
              <w:rPr>
                <w:rFonts w:ascii="Arial" w:hAnsi="Arial" w:cs="Arial"/>
                <w:sz w:val="24"/>
                <w:szCs w:val="24"/>
              </w:rPr>
              <w:t>Details</w:t>
            </w:r>
            <w:r w:rsidR="00172506" w:rsidRPr="00133CFB">
              <w:rPr>
                <w:rFonts w:ascii="Arial" w:hAnsi="Arial" w:cs="Arial"/>
                <w:sz w:val="24"/>
                <w:szCs w:val="24"/>
              </w:rPr>
              <w:t xml:space="preserve"> </w:t>
            </w:r>
          </w:p>
        </w:tc>
        <w:tc>
          <w:tcPr>
            <w:tcW w:w="6662" w:type="dxa"/>
          </w:tcPr>
          <w:p w14:paraId="5AFF64F1" w14:textId="77777777" w:rsidR="00172506" w:rsidRPr="00133CFB" w:rsidRDefault="00031F51" w:rsidP="00603615">
            <w:pPr>
              <w:spacing w:line="276" w:lineRule="auto"/>
              <w:rPr>
                <w:rFonts w:ascii="Arial" w:hAnsi="Arial" w:cs="Arial"/>
                <w:sz w:val="24"/>
                <w:szCs w:val="24"/>
              </w:rPr>
            </w:pPr>
            <w:r>
              <w:rPr>
                <w:rFonts w:ascii="Arial" w:hAnsi="Arial" w:cs="Arial"/>
                <w:sz w:val="24"/>
                <w:szCs w:val="24"/>
              </w:rPr>
              <w:t>NDS s</w:t>
            </w:r>
            <w:r w:rsidR="00172506" w:rsidRPr="00133CFB">
              <w:rPr>
                <w:rFonts w:ascii="Arial" w:hAnsi="Arial" w:cs="Arial"/>
                <w:sz w:val="24"/>
                <w:szCs w:val="24"/>
              </w:rPr>
              <w:t>olution</w:t>
            </w:r>
          </w:p>
        </w:tc>
      </w:tr>
      <w:tr w:rsidR="00172506" w:rsidRPr="00133CFB" w14:paraId="73301C8F" w14:textId="77777777" w:rsidTr="00172506">
        <w:tc>
          <w:tcPr>
            <w:tcW w:w="1700" w:type="dxa"/>
          </w:tcPr>
          <w:p w14:paraId="5F3BE6B8" w14:textId="77777777" w:rsidR="00172506" w:rsidRPr="00133CFB" w:rsidRDefault="00172506" w:rsidP="00603615">
            <w:pPr>
              <w:spacing w:line="276" w:lineRule="auto"/>
              <w:rPr>
                <w:rFonts w:ascii="Arial" w:hAnsi="Arial" w:cs="Arial"/>
                <w:sz w:val="24"/>
                <w:szCs w:val="24"/>
              </w:rPr>
            </w:pPr>
            <w:r w:rsidRPr="00133CFB">
              <w:rPr>
                <w:rFonts w:ascii="Arial" w:hAnsi="Arial" w:cs="Arial"/>
                <w:b/>
                <w:sz w:val="24"/>
                <w:szCs w:val="24"/>
              </w:rPr>
              <w:t>Pricing</w:t>
            </w:r>
          </w:p>
        </w:tc>
        <w:tc>
          <w:tcPr>
            <w:tcW w:w="6635" w:type="dxa"/>
          </w:tcPr>
          <w:p w14:paraId="180F0207" w14:textId="77777777" w:rsidR="00172506" w:rsidRPr="00133CFB" w:rsidRDefault="00172506" w:rsidP="00603615">
            <w:pPr>
              <w:spacing w:line="276" w:lineRule="auto"/>
              <w:rPr>
                <w:rFonts w:ascii="Arial" w:hAnsi="Arial" w:cs="Arial"/>
                <w:sz w:val="24"/>
                <w:szCs w:val="24"/>
              </w:rPr>
            </w:pPr>
            <w:r w:rsidRPr="00133CFB">
              <w:rPr>
                <w:rFonts w:ascii="Arial" w:hAnsi="Arial" w:cs="Arial"/>
                <w:sz w:val="24"/>
                <w:szCs w:val="24"/>
              </w:rPr>
              <w:t>NDIS prices for in-home and community support are too low. The NDIA’s intention to reduce the real value of prices in future years could lead to market failure.</w:t>
            </w:r>
          </w:p>
        </w:tc>
        <w:tc>
          <w:tcPr>
            <w:tcW w:w="6662" w:type="dxa"/>
          </w:tcPr>
          <w:p w14:paraId="12CD9093" w14:textId="77777777" w:rsidR="00172506" w:rsidRPr="00133CFB" w:rsidRDefault="00172506" w:rsidP="00603615">
            <w:pPr>
              <w:spacing w:line="276" w:lineRule="auto"/>
              <w:rPr>
                <w:rFonts w:ascii="Arial" w:hAnsi="Arial" w:cs="Arial"/>
                <w:sz w:val="24"/>
                <w:szCs w:val="24"/>
              </w:rPr>
            </w:pPr>
            <w:r w:rsidRPr="00133CFB">
              <w:rPr>
                <w:rFonts w:ascii="Arial" w:hAnsi="Arial" w:cs="Arial"/>
                <w:sz w:val="24"/>
                <w:szCs w:val="24"/>
              </w:rPr>
              <w:t>Price setting should be informed by evidence</w:t>
            </w:r>
            <w:r w:rsidR="00603615">
              <w:rPr>
                <w:rFonts w:ascii="Arial" w:hAnsi="Arial" w:cs="Arial"/>
                <w:sz w:val="24"/>
                <w:szCs w:val="24"/>
              </w:rPr>
              <w:t>,</w:t>
            </w:r>
            <w:r w:rsidRPr="00133CFB">
              <w:rPr>
                <w:rFonts w:ascii="Arial" w:hAnsi="Arial" w:cs="Arial"/>
                <w:sz w:val="24"/>
                <w:szCs w:val="24"/>
              </w:rPr>
              <w:t xml:space="preserve"> and price deregulation should be tested now, during the trial.</w:t>
            </w:r>
          </w:p>
        </w:tc>
      </w:tr>
      <w:tr w:rsidR="00172506" w:rsidRPr="00133CFB" w14:paraId="5C611641" w14:textId="77777777" w:rsidTr="00172506">
        <w:tc>
          <w:tcPr>
            <w:tcW w:w="1700" w:type="dxa"/>
          </w:tcPr>
          <w:p w14:paraId="17C48CE4" w14:textId="77777777" w:rsidR="00172506" w:rsidRPr="00133CFB" w:rsidRDefault="00172506" w:rsidP="00603615">
            <w:pPr>
              <w:spacing w:line="276" w:lineRule="auto"/>
              <w:rPr>
                <w:rFonts w:ascii="Arial" w:hAnsi="Arial" w:cs="Arial"/>
                <w:sz w:val="24"/>
                <w:szCs w:val="24"/>
              </w:rPr>
            </w:pPr>
            <w:r w:rsidRPr="00133CFB">
              <w:rPr>
                <w:rFonts w:ascii="Arial" w:hAnsi="Arial" w:cs="Arial"/>
                <w:b/>
                <w:sz w:val="24"/>
                <w:szCs w:val="24"/>
              </w:rPr>
              <w:t>Planning</w:t>
            </w:r>
          </w:p>
        </w:tc>
        <w:tc>
          <w:tcPr>
            <w:tcW w:w="6635" w:type="dxa"/>
          </w:tcPr>
          <w:p w14:paraId="6A5DD2E1" w14:textId="77777777" w:rsidR="00172506" w:rsidRPr="00133CFB" w:rsidRDefault="00172506" w:rsidP="00603615">
            <w:pPr>
              <w:spacing w:line="276" w:lineRule="auto"/>
              <w:rPr>
                <w:rFonts w:ascii="Arial" w:hAnsi="Arial" w:cs="Arial"/>
                <w:sz w:val="24"/>
                <w:szCs w:val="24"/>
              </w:rPr>
            </w:pPr>
            <w:r w:rsidRPr="00133CFB">
              <w:rPr>
                <w:rFonts w:ascii="Arial" w:hAnsi="Arial" w:cs="Arial"/>
                <w:sz w:val="24"/>
                <w:szCs w:val="24"/>
              </w:rPr>
              <w:t xml:space="preserve">Early participant plans were too prescriptive and lacked sufficient knowledge of the person or their service history. </w:t>
            </w:r>
          </w:p>
        </w:tc>
        <w:tc>
          <w:tcPr>
            <w:tcW w:w="6662" w:type="dxa"/>
          </w:tcPr>
          <w:p w14:paraId="2C6FE997" w14:textId="77777777" w:rsidR="00172506" w:rsidRPr="00133CFB" w:rsidRDefault="00172506" w:rsidP="00603615">
            <w:pPr>
              <w:spacing w:line="276" w:lineRule="auto"/>
              <w:rPr>
                <w:rFonts w:ascii="Arial" w:hAnsi="Arial" w:cs="Arial"/>
                <w:sz w:val="24"/>
                <w:szCs w:val="24"/>
              </w:rPr>
            </w:pPr>
            <w:r w:rsidRPr="00133CFB">
              <w:rPr>
                <w:rFonts w:ascii="Arial" w:hAnsi="Arial" w:cs="Arial"/>
                <w:sz w:val="24"/>
                <w:szCs w:val="24"/>
              </w:rPr>
              <w:t>Plans are now more flexible but the planning process should be outsourced to the non-government service sector</w:t>
            </w:r>
            <w:r w:rsidR="00D55A6B">
              <w:rPr>
                <w:rFonts w:ascii="Arial" w:hAnsi="Arial" w:cs="Arial"/>
                <w:sz w:val="24"/>
                <w:szCs w:val="24"/>
              </w:rPr>
              <w:t>.</w:t>
            </w:r>
            <w:r w:rsidRPr="00133CFB">
              <w:rPr>
                <w:rFonts w:ascii="Arial" w:hAnsi="Arial" w:cs="Arial"/>
                <w:sz w:val="24"/>
                <w:szCs w:val="24"/>
              </w:rPr>
              <w:t xml:space="preserve"> </w:t>
            </w:r>
          </w:p>
        </w:tc>
      </w:tr>
      <w:tr w:rsidR="00172506" w:rsidRPr="00133CFB" w14:paraId="5B75CCAC" w14:textId="77777777" w:rsidTr="00172506">
        <w:tc>
          <w:tcPr>
            <w:tcW w:w="1700" w:type="dxa"/>
          </w:tcPr>
          <w:p w14:paraId="139F91A2" w14:textId="77777777" w:rsidR="00172506" w:rsidRPr="00133CFB" w:rsidRDefault="00172506" w:rsidP="00603615">
            <w:pPr>
              <w:spacing w:line="276" w:lineRule="auto"/>
              <w:rPr>
                <w:rFonts w:ascii="Arial" w:hAnsi="Arial" w:cs="Arial"/>
                <w:sz w:val="24"/>
                <w:szCs w:val="24"/>
              </w:rPr>
            </w:pPr>
            <w:r w:rsidRPr="00133CFB">
              <w:rPr>
                <w:rFonts w:ascii="Arial" w:hAnsi="Arial" w:cs="Arial"/>
                <w:b/>
                <w:sz w:val="24"/>
                <w:szCs w:val="24"/>
              </w:rPr>
              <w:t>Transition</w:t>
            </w:r>
          </w:p>
        </w:tc>
        <w:tc>
          <w:tcPr>
            <w:tcW w:w="6635" w:type="dxa"/>
          </w:tcPr>
          <w:p w14:paraId="6BA2BB68" w14:textId="77777777" w:rsidR="00172506" w:rsidRPr="00133CFB" w:rsidRDefault="00172506" w:rsidP="00603615">
            <w:pPr>
              <w:spacing w:line="276" w:lineRule="auto"/>
              <w:rPr>
                <w:rFonts w:ascii="Arial" w:hAnsi="Arial" w:cs="Arial"/>
                <w:sz w:val="24"/>
                <w:szCs w:val="24"/>
              </w:rPr>
            </w:pPr>
            <w:r w:rsidRPr="00133CFB">
              <w:rPr>
                <w:rFonts w:ascii="Arial" w:hAnsi="Arial" w:cs="Arial"/>
                <w:sz w:val="24"/>
                <w:szCs w:val="24"/>
              </w:rPr>
              <w:t xml:space="preserve">The viability of many not-for-profit organisations will be severely tested as block payments in advance are replaced by individualised payments in arears. </w:t>
            </w:r>
          </w:p>
        </w:tc>
        <w:tc>
          <w:tcPr>
            <w:tcW w:w="6662" w:type="dxa"/>
          </w:tcPr>
          <w:p w14:paraId="5CFC7087" w14:textId="77777777" w:rsidR="00172506" w:rsidRPr="00133CFB" w:rsidRDefault="00172506" w:rsidP="009E1F94">
            <w:pPr>
              <w:spacing w:line="276" w:lineRule="auto"/>
              <w:rPr>
                <w:rFonts w:ascii="Arial" w:hAnsi="Arial" w:cs="Arial"/>
                <w:sz w:val="24"/>
                <w:szCs w:val="24"/>
              </w:rPr>
            </w:pPr>
            <w:r w:rsidRPr="00133CFB">
              <w:rPr>
                <w:rFonts w:ascii="Arial" w:hAnsi="Arial" w:cs="Arial"/>
                <w:sz w:val="24"/>
                <w:szCs w:val="24"/>
              </w:rPr>
              <w:t>Measures will be required to mitigate this risk</w:t>
            </w:r>
            <w:r w:rsidR="009E1F94">
              <w:rPr>
                <w:rFonts w:ascii="Arial" w:hAnsi="Arial" w:cs="Arial"/>
                <w:sz w:val="24"/>
                <w:szCs w:val="24"/>
              </w:rPr>
              <w:t>,</w:t>
            </w:r>
            <w:r w:rsidRPr="00133CFB">
              <w:rPr>
                <w:rFonts w:ascii="Arial" w:hAnsi="Arial" w:cs="Arial"/>
                <w:sz w:val="24"/>
                <w:szCs w:val="24"/>
              </w:rPr>
              <w:t xml:space="preserve"> including significant </w:t>
            </w:r>
            <w:r w:rsidR="009E1F94">
              <w:rPr>
                <w:rFonts w:ascii="Arial" w:hAnsi="Arial" w:cs="Arial"/>
                <w:sz w:val="24"/>
                <w:szCs w:val="24"/>
              </w:rPr>
              <w:t>investment in</w:t>
            </w:r>
            <w:r w:rsidRPr="00133CFB">
              <w:rPr>
                <w:rFonts w:ascii="Arial" w:hAnsi="Arial" w:cs="Arial"/>
                <w:sz w:val="24"/>
                <w:szCs w:val="24"/>
              </w:rPr>
              <w:t xml:space="preserve"> sector development.</w:t>
            </w:r>
          </w:p>
        </w:tc>
      </w:tr>
      <w:tr w:rsidR="00172506" w:rsidRPr="00133CFB" w14:paraId="1C487795" w14:textId="77777777" w:rsidTr="00172506">
        <w:tc>
          <w:tcPr>
            <w:tcW w:w="1700" w:type="dxa"/>
          </w:tcPr>
          <w:p w14:paraId="5139D653" w14:textId="77777777" w:rsidR="00172506" w:rsidRPr="00133CFB" w:rsidRDefault="00172506" w:rsidP="00603615">
            <w:pPr>
              <w:spacing w:line="276" w:lineRule="auto"/>
              <w:rPr>
                <w:rFonts w:ascii="Arial" w:hAnsi="Arial" w:cs="Arial"/>
                <w:sz w:val="24"/>
                <w:szCs w:val="24"/>
              </w:rPr>
            </w:pPr>
            <w:r w:rsidRPr="00133CFB">
              <w:rPr>
                <w:rFonts w:ascii="Arial" w:hAnsi="Arial" w:cs="Arial"/>
                <w:b/>
                <w:sz w:val="24"/>
                <w:szCs w:val="24"/>
              </w:rPr>
              <w:t>Engagement</w:t>
            </w:r>
          </w:p>
        </w:tc>
        <w:tc>
          <w:tcPr>
            <w:tcW w:w="6635" w:type="dxa"/>
          </w:tcPr>
          <w:p w14:paraId="32E000F3" w14:textId="77777777" w:rsidR="00172506" w:rsidRPr="00133CFB" w:rsidRDefault="00172506" w:rsidP="00603615">
            <w:pPr>
              <w:spacing w:line="276" w:lineRule="auto"/>
              <w:rPr>
                <w:rFonts w:ascii="Arial" w:hAnsi="Arial" w:cs="Arial"/>
                <w:sz w:val="24"/>
                <w:szCs w:val="24"/>
              </w:rPr>
            </w:pPr>
            <w:r w:rsidRPr="00133CFB">
              <w:rPr>
                <w:rFonts w:ascii="Arial" w:hAnsi="Arial" w:cs="Arial"/>
                <w:sz w:val="24"/>
                <w:szCs w:val="24"/>
              </w:rPr>
              <w:t xml:space="preserve">The principle of co-design, which infused the development of the NDIS, is even more important during the trial. </w:t>
            </w:r>
          </w:p>
        </w:tc>
        <w:tc>
          <w:tcPr>
            <w:tcW w:w="6662" w:type="dxa"/>
          </w:tcPr>
          <w:p w14:paraId="5691391A" w14:textId="77777777" w:rsidR="00172506" w:rsidRPr="00133CFB" w:rsidRDefault="00172506" w:rsidP="00603615">
            <w:pPr>
              <w:spacing w:line="276" w:lineRule="auto"/>
              <w:rPr>
                <w:rFonts w:ascii="Arial" w:hAnsi="Arial" w:cs="Arial"/>
                <w:sz w:val="24"/>
                <w:szCs w:val="24"/>
              </w:rPr>
            </w:pPr>
            <w:r w:rsidRPr="00133CFB">
              <w:rPr>
                <w:rFonts w:ascii="Arial" w:hAnsi="Arial" w:cs="Arial"/>
                <w:sz w:val="24"/>
                <w:szCs w:val="24"/>
              </w:rPr>
              <w:t>Effective engagement between the sector and the NDIA is essential for the creation of a robust, efficient and sustainable NDIS.</w:t>
            </w:r>
          </w:p>
        </w:tc>
      </w:tr>
      <w:tr w:rsidR="00172506" w:rsidRPr="00133CFB" w14:paraId="0789A189" w14:textId="77777777" w:rsidTr="00172506">
        <w:tc>
          <w:tcPr>
            <w:tcW w:w="1700" w:type="dxa"/>
          </w:tcPr>
          <w:p w14:paraId="23206081" w14:textId="77777777" w:rsidR="00172506" w:rsidRPr="00133CFB" w:rsidRDefault="00603615" w:rsidP="00603615">
            <w:pPr>
              <w:spacing w:line="276" w:lineRule="auto"/>
              <w:rPr>
                <w:rFonts w:ascii="Arial" w:hAnsi="Arial" w:cs="Arial"/>
                <w:b/>
                <w:sz w:val="24"/>
                <w:szCs w:val="24"/>
              </w:rPr>
            </w:pPr>
            <w:r>
              <w:rPr>
                <w:rFonts w:ascii="Arial" w:hAnsi="Arial" w:cs="Arial"/>
                <w:b/>
                <w:sz w:val="24"/>
                <w:szCs w:val="24"/>
              </w:rPr>
              <w:t>Industrial</w:t>
            </w:r>
            <w:r>
              <w:rPr>
                <w:rFonts w:ascii="Arial" w:hAnsi="Arial" w:cs="Arial"/>
                <w:b/>
                <w:sz w:val="24"/>
                <w:szCs w:val="24"/>
              </w:rPr>
              <w:br/>
              <w:t>r</w:t>
            </w:r>
            <w:r w:rsidR="00172506" w:rsidRPr="00133CFB">
              <w:rPr>
                <w:rFonts w:ascii="Arial" w:hAnsi="Arial" w:cs="Arial"/>
                <w:b/>
                <w:sz w:val="24"/>
                <w:szCs w:val="24"/>
              </w:rPr>
              <w:t>elations</w:t>
            </w:r>
          </w:p>
        </w:tc>
        <w:tc>
          <w:tcPr>
            <w:tcW w:w="6635" w:type="dxa"/>
          </w:tcPr>
          <w:p w14:paraId="2C22F262" w14:textId="77777777" w:rsidR="00172506" w:rsidRPr="00133CFB" w:rsidRDefault="00172506" w:rsidP="005D0A52">
            <w:pPr>
              <w:spacing w:line="276" w:lineRule="auto"/>
              <w:rPr>
                <w:rFonts w:ascii="Arial" w:hAnsi="Arial" w:cs="Arial"/>
                <w:sz w:val="24"/>
                <w:szCs w:val="24"/>
              </w:rPr>
            </w:pPr>
            <w:r w:rsidRPr="00133CFB">
              <w:rPr>
                <w:rFonts w:ascii="Arial" w:hAnsi="Arial" w:cs="Arial"/>
                <w:sz w:val="24"/>
                <w:szCs w:val="24"/>
              </w:rPr>
              <w:t>The NDIS will test industrial regulation as scheme participants want gr</w:t>
            </w:r>
            <w:r w:rsidR="005D0A52">
              <w:rPr>
                <w:rFonts w:ascii="Arial" w:hAnsi="Arial" w:cs="Arial"/>
                <w:sz w:val="24"/>
                <w:szCs w:val="24"/>
              </w:rPr>
              <w:t>eater flexibility</w:t>
            </w:r>
            <w:r w:rsidR="00D55A6B">
              <w:rPr>
                <w:rFonts w:ascii="Arial" w:hAnsi="Arial" w:cs="Arial"/>
                <w:sz w:val="24"/>
                <w:szCs w:val="24"/>
              </w:rPr>
              <w:t>.</w:t>
            </w:r>
          </w:p>
        </w:tc>
        <w:tc>
          <w:tcPr>
            <w:tcW w:w="6662" w:type="dxa"/>
          </w:tcPr>
          <w:p w14:paraId="53B951F2" w14:textId="77777777" w:rsidR="00172506" w:rsidRPr="00133CFB" w:rsidRDefault="00172506" w:rsidP="009E1F94">
            <w:pPr>
              <w:spacing w:line="276" w:lineRule="auto"/>
              <w:rPr>
                <w:rFonts w:ascii="Arial" w:hAnsi="Arial" w:cs="Arial"/>
                <w:sz w:val="24"/>
                <w:szCs w:val="24"/>
              </w:rPr>
            </w:pPr>
            <w:r w:rsidRPr="00133CFB">
              <w:rPr>
                <w:rFonts w:ascii="Arial" w:hAnsi="Arial" w:cs="Arial"/>
                <w:sz w:val="24"/>
                <w:szCs w:val="24"/>
              </w:rPr>
              <w:t>Work with Fair Work Commission and the unions to achieve flexibility and secure</w:t>
            </w:r>
            <w:r w:rsidR="009E1F94">
              <w:rPr>
                <w:rFonts w:ascii="Arial" w:hAnsi="Arial" w:cs="Arial"/>
                <w:sz w:val="24"/>
                <w:szCs w:val="24"/>
              </w:rPr>
              <w:t>, attractive jobs and</w:t>
            </w:r>
            <w:r w:rsidRPr="00133CFB">
              <w:rPr>
                <w:rFonts w:ascii="Arial" w:hAnsi="Arial" w:cs="Arial"/>
                <w:sz w:val="24"/>
                <w:szCs w:val="24"/>
              </w:rPr>
              <w:t xml:space="preserve"> careers for staff. </w:t>
            </w:r>
          </w:p>
        </w:tc>
      </w:tr>
      <w:tr w:rsidR="00172506" w:rsidRPr="00133CFB" w14:paraId="4E11FD70" w14:textId="77777777" w:rsidTr="00172506">
        <w:tc>
          <w:tcPr>
            <w:tcW w:w="1700" w:type="dxa"/>
          </w:tcPr>
          <w:p w14:paraId="4606B878" w14:textId="77777777" w:rsidR="00172506" w:rsidRPr="00133CFB" w:rsidRDefault="00172506" w:rsidP="00603615">
            <w:pPr>
              <w:spacing w:line="276" w:lineRule="auto"/>
              <w:rPr>
                <w:rFonts w:ascii="Arial" w:hAnsi="Arial" w:cs="Arial"/>
                <w:b/>
                <w:sz w:val="24"/>
                <w:szCs w:val="24"/>
              </w:rPr>
            </w:pPr>
            <w:r w:rsidRPr="00133CFB">
              <w:rPr>
                <w:rFonts w:ascii="Arial" w:hAnsi="Arial" w:cs="Arial"/>
                <w:b/>
                <w:sz w:val="24"/>
                <w:szCs w:val="24"/>
              </w:rPr>
              <w:t>Federal Budget</w:t>
            </w:r>
          </w:p>
        </w:tc>
        <w:tc>
          <w:tcPr>
            <w:tcW w:w="6635" w:type="dxa"/>
          </w:tcPr>
          <w:p w14:paraId="0ADFBA2D" w14:textId="77777777" w:rsidR="00172506" w:rsidRPr="00133CFB" w:rsidRDefault="00172506" w:rsidP="00D55A6B">
            <w:pPr>
              <w:spacing w:line="276" w:lineRule="auto"/>
              <w:rPr>
                <w:rFonts w:ascii="Arial" w:hAnsi="Arial" w:cs="Arial"/>
                <w:sz w:val="24"/>
                <w:szCs w:val="24"/>
              </w:rPr>
            </w:pPr>
            <w:r w:rsidRPr="00133CFB">
              <w:rPr>
                <w:rFonts w:ascii="Arial" w:hAnsi="Arial" w:cs="Arial"/>
                <w:sz w:val="24"/>
                <w:szCs w:val="24"/>
              </w:rPr>
              <w:t>The NDIS survived a tough 2014</w:t>
            </w:r>
            <w:r w:rsidR="005D0A52">
              <w:rPr>
                <w:rFonts w:ascii="Arial" w:hAnsi="Arial" w:cs="Arial"/>
                <w:sz w:val="24"/>
                <w:szCs w:val="24"/>
              </w:rPr>
              <w:t xml:space="preserve"> </w:t>
            </w:r>
            <w:r w:rsidR="00D55A6B">
              <w:rPr>
                <w:rFonts w:ascii="Arial" w:hAnsi="Arial" w:cs="Arial"/>
                <w:sz w:val="24"/>
                <w:szCs w:val="24"/>
              </w:rPr>
              <w:t>B</w:t>
            </w:r>
            <w:r w:rsidR="005D0A52">
              <w:rPr>
                <w:rFonts w:ascii="Arial" w:hAnsi="Arial" w:cs="Arial"/>
                <w:sz w:val="24"/>
                <w:szCs w:val="24"/>
              </w:rPr>
              <w:t>udget</w:t>
            </w:r>
            <w:r w:rsidRPr="00133CFB">
              <w:rPr>
                <w:rFonts w:ascii="Arial" w:hAnsi="Arial" w:cs="Arial"/>
                <w:sz w:val="24"/>
                <w:szCs w:val="24"/>
              </w:rPr>
              <w:t xml:space="preserve">, but fiscal pressure is ongoing. A 0.5% addition to the Medicare levy, effective from July 2014, will not cover the scheme’s full cost. </w:t>
            </w:r>
          </w:p>
        </w:tc>
        <w:tc>
          <w:tcPr>
            <w:tcW w:w="6662" w:type="dxa"/>
          </w:tcPr>
          <w:p w14:paraId="43F5F703" w14:textId="77777777" w:rsidR="00172506" w:rsidRPr="00133CFB" w:rsidRDefault="00172506" w:rsidP="00603615">
            <w:pPr>
              <w:spacing w:line="276" w:lineRule="auto"/>
              <w:rPr>
                <w:rFonts w:ascii="Arial" w:hAnsi="Arial" w:cs="Arial"/>
                <w:sz w:val="24"/>
                <w:szCs w:val="24"/>
              </w:rPr>
            </w:pPr>
            <w:r w:rsidRPr="00133CFB">
              <w:rPr>
                <w:rFonts w:ascii="Arial" w:hAnsi="Arial" w:cs="Arial"/>
                <w:sz w:val="24"/>
                <w:szCs w:val="24"/>
              </w:rPr>
              <w:t xml:space="preserve">Governments will need to find more money, which budget forward estimates do not yet reflect. </w:t>
            </w:r>
          </w:p>
        </w:tc>
      </w:tr>
      <w:tr w:rsidR="00172506" w:rsidRPr="00133CFB" w14:paraId="4307C258" w14:textId="77777777" w:rsidTr="00172506">
        <w:tc>
          <w:tcPr>
            <w:tcW w:w="1700" w:type="dxa"/>
          </w:tcPr>
          <w:p w14:paraId="2334993E" w14:textId="77777777" w:rsidR="00172506" w:rsidRPr="00133CFB" w:rsidRDefault="00172506" w:rsidP="00603615">
            <w:pPr>
              <w:spacing w:line="276" w:lineRule="auto"/>
              <w:rPr>
                <w:rFonts w:ascii="Arial" w:hAnsi="Arial" w:cs="Arial"/>
                <w:b/>
                <w:sz w:val="24"/>
                <w:szCs w:val="24"/>
              </w:rPr>
            </w:pPr>
            <w:r w:rsidRPr="00133CFB">
              <w:rPr>
                <w:rFonts w:ascii="Arial" w:hAnsi="Arial" w:cs="Arial"/>
                <w:b/>
                <w:sz w:val="24"/>
                <w:szCs w:val="24"/>
              </w:rPr>
              <w:t>Government services</w:t>
            </w:r>
          </w:p>
        </w:tc>
        <w:tc>
          <w:tcPr>
            <w:tcW w:w="6635" w:type="dxa"/>
          </w:tcPr>
          <w:p w14:paraId="33E7940D" w14:textId="77777777" w:rsidR="00172506" w:rsidRPr="00133CFB" w:rsidRDefault="00172506" w:rsidP="00603615">
            <w:pPr>
              <w:spacing w:line="276" w:lineRule="auto"/>
              <w:rPr>
                <w:rFonts w:ascii="Arial" w:hAnsi="Arial" w:cs="Arial"/>
                <w:sz w:val="24"/>
                <w:szCs w:val="24"/>
              </w:rPr>
            </w:pPr>
            <w:r w:rsidRPr="00133CFB">
              <w:rPr>
                <w:rFonts w:ascii="Arial" w:hAnsi="Arial" w:cs="Arial"/>
                <w:sz w:val="24"/>
                <w:szCs w:val="24"/>
              </w:rPr>
              <w:t xml:space="preserve">The complete or partial withdrawal of several state and territory governments from disability service provision will create challenges and opportunities for the sector. </w:t>
            </w:r>
          </w:p>
        </w:tc>
        <w:tc>
          <w:tcPr>
            <w:tcW w:w="6662" w:type="dxa"/>
          </w:tcPr>
          <w:p w14:paraId="562776DC" w14:textId="77777777" w:rsidR="00172506" w:rsidRPr="00133CFB" w:rsidRDefault="005D0A52" w:rsidP="005D0A52">
            <w:pPr>
              <w:spacing w:line="276" w:lineRule="auto"/>
              <w:rPr>
                <w:rFonts w:ascii="Arial" w:hAnsi="Arial" w:cs="Arial"/>
                <w:sz w:val="24"/>
                <w:szCs w:val="24"/>
              </w:rPr>
            </w:pPr>
            <w:r>
              <w:rPr>
                <w:rFonts w:ascii="Arial" w:hAnsi="Arial" w:cs="Arial"/>
                <w:sz w:val="24"/>
                <w:szCs w:val="24"/>
              </w:rPr>
              <w:t xml:space="preserve">NDS </w:t>
            </w:r>
            <w:r w:rsidR="00D55A6B">
              <w:rPr>
                <w:rFonts w:ascii="Arial" w:hAnsi="Arial" w:cs="Arial"/>
                <w:sz w:val="24"/>
                <w:szCs w:val="24"/>
              </w:rPr>
              <w:t xml:space="preserve">is </w:t>
            </w:r>
            <w:r>
              <w:rPr>
                <w:rFonts w:ascii="Arial" w:hAnsi="Arial" w:cs="Arial"/>
                <w:sz w:val="24"/>
                <w:szCs w:val="24"/>
              </w:rPr>
              <w:t>urging government</w:t>
            </w:r>
            <w:r w:rsidR="009E1F94">
              <w:rPr>
                <w:rFonts w:ascii="Arial" w:hAnsi="Arial" w:cs="Arial"/>
                <w:sz w:val="24"/>
                <w:szCs w:val="24"/>
              </w:rPr>
              <w:t>s</w:t>
            </w:r>
            <w:r>
              <w:rPr>
                <w:rFonts w:ascii="Arial" w:hAnsi="Arial" w:cs="Arial"/>
                <w:sz w:val="24"/>
                <w:szCs w:val="24"/>
              </w:rPr>
              <w:t xml:space="preserve"> to ensure policy clarity and appropriate funding for providers who take on services</w:t>
            </w:r>
            <w:r w:rsidR="00D55A6B">
              <w:rPr>
                <w:rFonts w:ascii="Arial" w:hAnsi="Arial" w:cs="Arial"/>
                <w:sz w:val="24"/>
                <w:szCs w:val="24"/>
              </w:rPr>
              <w:t>.</w:t>
            </w:r>
          </w:p>
        </w:tc>
      </w:tr>
    </w:tbl>
    <w:p w14:paraId="1BB77D71" w14:textId="77777777" w:rsidR="006F7787" w:rsidRDefault="006F7787" w:rsidP="004E7B04">
      <w:pPr>
        <w:rPr>
          <w:rFonts w:ascii="Arial" w:hAnsi="Arial" w:cs="Arial"/>
          <w:sz w:val="24"/>
          <w:szCs w:val="24"/>
        </w:rPr>
        <w:sectPr w:rsidR="006F7787" w:rsidSect="006F7787">
          <w:pgSz w:w="16838" w:h="11906" w:orient="landscape"/>
          <w:pgMar w:top="1440" w:right="1440" w:bottom="1440" w:left="1440" w:header="709" w:footer="709" w:gutter="0"/>
          <w:cols w:space="708"/>
          <w:docGrid w:linePitch="360"/>
        </w:sectPr>
      </w:pPr>
    </w:p>
    <w:p w14:paraId="695418DD" w14:textId="77777777" w:rsidR="006F7787" w:rsidRDefault="006F7787" w:rsidP="001F094B">
      <w:pPr>
        <w:pStyle w:val="Heading2"/>
      </w:pPr>
      <w:r w:rsidRPr="006F7787">
        <w:lastRenderedPageBreak/>
        <w:t>What to look out for around Australia</w:t>
      </w:r>
      <w:r w:rsidRPr="006F7787">
        <w:br/>
      </w:r>
    </w:p>
    <w:p w14:paraId="5A4AB4B2" w14:textId="77777777" w:rsidR="000F0F71" w:rsidRPr="006F7787" w:rsidRDefault="000F0F71" w:rsidP="000F0F71">
      <w:pPr>
        <w:rPr>
          <w:rFonts w:ascii="Arial" w:hAnsi="Arial" w:cs="Arial"/>
          <w:b/>
          <w:iCs/>
          <w:sz w:val="24"/>
          <w:szCs w:val="24"/>
        </w:rPr>
      </w:pPr>
      <w:bookmarkStart w:id="101" w:name="_Toc404089919"/>
      <w:r w:rsidRPr="006F7787">
        <w:rPr>
          <w:rFonts w:ascii="Arial" w:hAnsi="Arial" w:cs="Arial"/>
          <w:b/>
          <w:iCs/>
          <w:sz w:val="24"/>
          <w:szCs w:val="24"/>
        </w:rPr>
        <w:t>Australian Capital Territory</w:t>
      </w:r>
      <w:r w:rsidRPr="006F7787">
        <w:rPr>
          <w:rFonts w:ascii="Arial" w:hAnsi="Arial" w:cs="Arial"/>
          <w:b/>
          <w:iCs/>
          <w:sz w:val="24"/>
          <w:szCs w:val="24"/>
        </w:rPr>
        <w:tab/>
      </w:r>
    </w:p>
    <w:p w14:paraId="7F02E568" w14:textId="77777777" w:rsidR="000F0F71" w:rsidRPr="006F7787" w:rsidRDefault="000F0F71" w:rsidP="000F0F71">
      <w:pPr>
        <w:pStyle w:val="ListParagraph"/>
        <w:numPr>
          <w:ilvl w:val="0"/>
          <w:numId w:val="38"/>
        </w:numPr>
        <w:rPr>
          <w:rFonts w:ascii="Arial" w:hAnsi="Arial" w:cs="Arial"/>
          <w:iCs/>
          <w:sz w:val="24"/>
          <w:szCs w:val="24"/>
        </w:rPr>
      </w:pPr>
      <w:r>
        <w:rPr>
          <w:rFonts w:ascii="Arial" w:hAnsi="Arial" w:cs="Arial"/>
          <w:iCs/>
          <w:sz w:val="24"/>
          <w:szCs w:val="24"/>
        </w:rPr>
        <w:t>How the NDIA deals with the ACT being</w:t>
      </w:r>
      <w:r w:rsidRPr="006F7787">
        <w:rPr>
          <w:rFonts w:ascii="Arial" w:hAnsi="Arial" w:cs="Arial"/>
          <w:iCs/>
          <w:sz w:val="24"/>
          <w:szCs w:val="24"/>
        </w:rPr>
        <w:t xml:space="preserve"> the first whole jurisdict</w:t>
      </w:r>
      <w:r>
        <w:rPr>
          <w:rFonts w:ascii="Arial" w:hAnsi="Arial" w:cs="Arial"/>
          <w:iCs/>
          <w:sz w:val="24"/>
          <w:szCs w:val="24"/>
        </w:rPr>
        <w:t xml:space="preserve">ion to </w:t>
      </w:r>
      <w:r w:rsidR="002F198A">
        <w:rPr>
          <w:rFonts w:ascii="Arial" w:hAnsi="Arial" w:cs="Arial"/>
          <w:iCs/>
          <w:sz w:val="24"/>
          <w:szCs w:val="24"/>
        </w:rPr>
        <w:t>transition</w:t>
      </w:r>
      <w:r>
        <w:rPr>
          <w:rFonts w:ascii="Arial" w:hAnsi="Arial" w:cs="Arial"/>
          <w:iCs/>
          <w:sz w:val="24"/>
          <w:szCs w:val="24"/>
        </w:rPr>
        <w:t xml:space="preserve"> into the NDIS </w:t>
      </w:r>
    </w:p>
    <w:p w14:paraId="2D27B155" w14:textId="77777777" w:rsidR="000F0F71" w:rsidRPr="006F7787" w:rsidRDefault="000F0F71" w:rsidP="000F0F71">
      <w:pPr>
        <w:pStyle w:val="ListParagraph"/>
        <w:numPr>
          <w:ilvl w:val="0"/>
          <w:numId w:val="38"/>
        </w:numPr>
        <w:rPr>
          <w:rFonts w:ascii="Arial" w:hAnsi="Arial" w:cs="Arial"/>
          <w:iCs/>
          <w:sz w:val="24"/>
          <w:szCs w:val="24"/>
        </w:rPr>
      </w:pPr>
      <w:r>
        <w:rPr>
          <w:rFonts w:ascii="Arial" w:hAnsi="Arial" w:cs="Arial"/>
          <w:iCs/>
          <w:sz w:val="24"/>
          <w:szCs w:val="24"/>
        </w:rPr>
        <w:t>How the disability sector responds to the</w:t>
      </w:r>
      <w:r w:rsidRPr="006F7787">
        <w:rPr>
          <w:rFonts w:ascii="Arial" w:hAnsi="Arial" w:cs="Arial"/>
          <w:iCs/>
          <w:sz w:val="24"/>
          <w:szCs w:val="24"/>
        </w:rPr>
        <w:t xml:space="preserve"> transfer of disability services from government to non-government providers</w:t>
      </w:r>
      <w:r>
        <w:rPr>
          <w:rFonts w:ascii="Arial" w:hAnsi="Arial" w:cs="Arial"/>
          <w:iCs/>
          <w:sz w:val="24"/>
          <w:szCs w:val="24"/>
        </w:rPr>
        <w:t>.</w:t>
      </w:r>
    </w:p>
    <w:p w14:paraId="66CAC8BE" w14:textId="77777777" w:rsidR="000F0F71" w:rsidRDefault="000F0F71" w:rsidP="000F0F71">
      <w:pPr>
        <w:rPr>
          <w:rFonts w:ascii="Arial" w:hAnsi="Arial" w:cs="Arial"/>
          <w:sz w:val="24"/>
          <w:szCs w:val="24"/>
        </w:rPr>
      </w:pPr>
      <w:r w:rsidRPr="006F7787">
        <w:rPr>
          <w:rFonts w:ascii="Arial" w:hAnsi="Arial" w:cs="Arial"/>
          <w:b/>
          <w:sz w:val="24"/>
          <w:szCs w:val="24"/>
        </w:rPr>
        <w:t>Northern Territory</w:t>
      </w:r>
      <w:r w:rsidRPr="006F7787">
        <w:rPr>
          <w:rFonts w:ascii="Arial" w:hAnsi="Arial" w:cs="Arial"/>
          <w:sz w:val="24"/>
          <w:szCs w:val="24"/>
        </w:rPr>
        <w:tab/>
      </w:r>
    </w:p>
    <w:p w14:paraId="0C840A14" w14:textId="77777777" w:rsidR="000F0F71" w:rsidRPr="006F7787" w:rsidRDefault="000F0F71" w:rsidP="000F0F71">
      <w:pPr>
        <w:pStyle w:val="ListParagraph"/>
        <w:numPr>
          <w:ilvl w:val="0"/>
          <w:numId w:val="35"/>
        </w:numPr>
        <w:rPr>
          <w:rFonts w:ascii="Arial" w:hAnsi="Arial" w:cs="Arial"/>
          <w:sz w:val="24"/>
          <w:szCs w:val="24"/>
        </w:rPr>
      </w:pPr>
      <w:r>
        <w:rPr>
          <w:rFonts w:ascii="Arial" w:hAnsi="Arial" w:cs="Arial"/>
          <w:sz w:val="24"/>
          <w:szCs w:val="24"/>
        </w:rPr>
        <w:t xml:space="preserve">The success of the </w:t>
      </w:r>
      <w:r w:rsidRPr="006F7787">
        <w:rPr>
          <w:rFonts w:ascii="Arial" w:hAnsi="Arial" w:cs="Arial"/>
          <w:sz w:val="24"/>
          <w:szCs w:val="24"/>
        </w:rPr>
        <w:t xml:space="preserve">Barkly </w:t>
      </w:r>
      <w:r>
        <w:rPr>
          <w:rFonts w:ascii="Arial" w:hAnsi="Arial" w:cs="Arial"/>
          <w:sz w:val="24"/>
          <w:szCs w:val="24"/>
        </w:rPr>
        <w:t>r</w:t>
      </w:r>
      <w:r w:rsidRPr="006F7787">
        <w:rPr>
          <w:rFonts w:ascii="Arial" w:hAnsi="Arial" w:cs="Arial"/>
          <w:sz w:val="24"/>
          <w:szCs w:val="24"/>
        </w:rPr>
        <w:t>egion NDIS trial site,</w:t>
      </w:r>
      <w:r>
        <w:rPr>
          <w:rFonts w:ascii="Arial" w:hAnsi="Arial" w:cs="Arial"/>
          <w:sz w:val="24"/>
          <w:szCs w:val="24"/>
        </w:rPr>
        <w:t xml:space="preserve"> which is</w:t>
      </w:r>
      <w:r w:rsidRPr="006F7787">
        <w:rPr>
          <w:rFonts w:ascii="Arial" w:hAnsi="Arial" w:cs="Arial"/>
          <w:sz w:val="24"/>
          <w:szCs w:val="24"/>
        </w:rPr>
        <w:t xml:space="preserve"> remote and has 69% Aboriginal population </w:t>
      </w:r>
    </w:p>
    <w:p w14:paraId="408347B4" w14:textId="77777777" w:rsidR="000F0F71" w:rsidRDefault="000F0F71" w:rsidP="000F0F71">
      <w:pPr>
        <w:pStyle w:val="ListParagraph"/>
        <w:numPr>
          <w:ilvl w:val="0"/>
          <w:numId w:val="35"/>
        </w:numPr>
        <w:rPr>
          <w:rFonts w:ascii="Arial" w:hAnsi="Arial" w:cs="Arial"/>
          <w:sz w:val="24"/>
          <w:szCs w:val="24"/>
        </w:rPr>
      </w:pPr>
      <w:r>
        <w:rPr>
          <w:rFonts w:ascii="Arial" w:hAnsi="Arial" w:cs="Arial"/>
          <w:sz w:val="24"/>
          <w:szCs w:val="24"/>
        </w:rPr>
        <w:t>The reality of having n</w:t>
      </w:r>
      <w:r w:rsidRPr="006F7787">
        <w:rPr>
          <w:rFonts w:ascii="Arial" w:hAnsi="Arial" w:cs="Arial"/>
          <w:sz w:val="24"/>
          <w:szCs w:val="24"/>
        </w:rPr>
        <w:t xml:space="preserve">o organisation </w:t>
      </w:r>
      <w:r>
        <w:rPr>
          <w:rFonts w:ascii="Arial" w:hAnsi="Arial" w:cs="Arial"/>
          <w:sz w:val="24"/>
          <w:szCs w:val="24"/>
        </w:rPr>
        <w:t>located with</w:t>
      </w:r>
      <w:r w:rsidRPr="006F7787">
        <w:rPr>
          <w:rFonts w:ascii="Arial" w:hAnsi="Arial" w:cs="Arial"/>
          <w:sz w:val="24"/>
          <w:szCs w:val="24"/>
        </w:rPr>
        <w:t xml:space="preserve">in the Barkly trial site </w:t>
      </w:r>
      <w:r>
        <w:rPr>
          <w:rFonts w:ascii="Arial" w:hAnsi="Arial" w:cs="Arial"/>
          <w:sz w:val="24"/>
          <w:szCs w:val="24"/>
        </w:rPr>
        <w:t xml:space="preserve">that </w:t>
      </w:r>
      <w:r w:rsidRPr="006F7787">
        <w:rPr>
          <w:rFonts w:ascii="Arial" w:hAnsi="Arial" w:cs="Arial"/>
          <w:sz w:val="24"/>
          <w:szCs w:val="24"/>
        </w:rPr>
        <w:t xml:space="preserve">has disability services as </w:t>
      </w:r>
      <w:r>
        <w:rPr>
          <w:rFonts w:ascii="Arial" w:hAnsi="Arial" w:cs="Arial"/>
          <w:sz w:val="24"/>
          <w:szCs w:val="24"/>
        </w:rPr>
        <w:t>its</w:t>
      </w:r>
      <w:r w:rsidRPr="006F7787">
        <w:rPr>
          <w:rFonts w:ascii="Arial" w:hAnsi="Arial" w:cs="Arial"/>
          <w:sz w:val="24"/>
          <w:szCs w:val="24"/>
        </w:rPr>
        <w:t xml:space="preserve"> core business</w:t>
      </w:r>
      <w:r>
        <w:rPr>
          <w:rFonts w:ascii="Arial" w:hAnsi="Arial" w:cs="Arial"/>
          <w:sz w:val="24"/>
          <w:szCs w:val="24"/>
        </w:rPr>
        <w:t xml:space="preserve"> highlights the challenge of creating a market for disability supports</w:t>
      </w:r>
      <w:r w:rsidRPr="006F7787">
        <w:rPr>
          <w:rFonts w:ascii="Arial" w:hAnsi="Arial" w:cs="Arial"/>
          <w:sz w:val="24"/>
          <w:szCs w:val="24"/>
        </w:rPr>
        <w:t>.</w:t>
      </w:r>
    </w:p>
    <w:p w14:paraId="0762A534" w14:textId="77777777" w:rsidR="000F0F71" w:rsidRPr="006F7787" w:rsidRDefault="000F0F71" w:rsidP="000F0F71">
      <w:pPr>
        <w:rPr>
          <w:rFonts w:ascii="Arial" w:hAnsi="Arial" w:cs="Arial"/>
          <w:b/>
          <w:iCs/>
          <w:sz w:val="24"/>
          <w:szCs w:val="24"/>
        </w:rPr>
      </w:pPr>
      <w:r>
        <w:rPr>
          <w:rFonts w:ascii="Arial" w:hAnsi="Arial" w:cs="Arial"/>
          <w:b/>
          <w:iCs/>
          <w:sz w:val="24"/>
          <w:szCs w:val="24"/>
        </w:rPr>
        <w:t>New South Wales</w:t>
      </w:r>
      <w:r w:rsidRPr="006F7787">
        <w:rPr>
          <w:rFonts w:ascii="Arial" w:hAnsi="Arial" w:cs="Arial"/>
          <w:b/>
          <w:iCs/>
          <w:sz w:val="24"/>
          <w:szCs w:val="24"/>
        </w:rPr>
        <w:tab/>
      </w:r>
    </w:p>
    <w:p w14:paraId="6E686313" w14:textId="77777777" w:rsidR="000F0F71" w:rsidRPr="006F7787" w:rsidRDefault="000F0F71" w:rsidP="000F0F71">
      <w:pPr>
        <w:pStyle w:val="ListParagraph"/>
        <w:numPr>
          <w:ilvl w:val="0"/>
          <w:numId w:val="33"/>
        </w:numPr>
        <w:rPr>
          <w:rFonts w:ascii="Arial" w:hAnsi="Arial" w:cs="Arial"/>
          <w:iCs/>
          <w:sz w:val="24"/>
          <w:szCs w:val="24"/>
        </w:rPr>
      </w:pPr>
      <w:r>
        <w:rPr>
          <w:rFonts w:ascii="Arial" w:hAnsi="Arial" w:cs="Arial"/>
          <w:iCs/>
          <w:sz w:val="24"/>
          <w:szCs w:val="24"/>
        </w:rPr>
        <w:t>Planning</w:t>
      </w:r>
      <w:r w:rsidRPr="006F7787">
        <w:rPr>
          <w:rFonts w:ascii="Arial" w:hAnsi="Arial" w:cs="Arial"/>
          <w:iCs/>
          <w:sz w:val="24"/>
          <w:szCs w:val="24"/>
        </w:rPr>
        <w:t xml:space="preserve"> for the full implementation of </w:t>
      </w:r>
      <w:r>
        <w:rPr>
          <w:rFonts w:ascii="Arial" w:hAnsi="Arial" w:cs="Arial"/>
          <w:iCs/>
          <w:sz w:val="24"/>
          <w:szCs w:val="24"/>
        </w:rPr>
        <w:t xml:space="preserve">the </w:t>
      </w:r>
      <w:r w:rsidRPr="006F7787">
        <w:rPr>
          <w:rFonts w:ascii="Arial" w:hAnsi="Arial" w:cs="Arial"/>
          <w:iCs/>
          <w:sz w:val="24"/>
          <w:szCs w:val="24"/>
        </w:rPr>
        <w:t>NDIS by 1 July 2018</w:t>
      </w:r>
      <w:r>
        <w:rPr>
          <w:rFonts w:ascii="Arial" w:hAnsi="Arial" w:cs="Arial"/>
          <w:iCs/>
          <w:sz w:val="24"/>
          <w:szCs w:val="24"/>
        </w:rPr>
        <w:t xml:space="preserve"> will need to be intense; the sector is awaiting announcement of details</w:t>
      </w:r>
    </w:p>
    <w:p w14:paraId="35ADD008" w14:textId="77777777" w:rsidR="000F0F71" w:rsidRPr="006F7787" w:rsidRDefault="000F0F71" w:rsidP="000F0F71">
      <w:pPr>
        <w:pStyle w:val="ListParagraph"/>
        <w:numPr>
          <w:ilvl w:val="0"/>
          <w:numId w:val="33"/>
        </w:numPr>
        <w:rPr>
          <w:rFonts w:ascii="Arial" w:hAnsi="Arial" w:cs="Arial"/>
          <w:iCs/>
          <w:sz w:val="24"/>
          <w:szCs w:val="24"/>
        </w:rPr>
      </w:pPr>
      <w:r>
        <w:rPr>
          <w:rFonts w:ascii="Arial" w:hAnsi="Arial" w:cs="Arial"/>
          <w:iCs/>
          <w:sz w:val="24"/>
          <w:szCs w:val="24"/>
        </w:rPr>
        <w:t>How the disability sector responds to the</w:t>
      </w:r>
      <w:r w:rsidRPr="006F7787">
        <w:rPr>
          <w:rFonts w:ascii="Arial" w:hAnsi="Arial" w:cs="Arial"/>
          <w:iCs/>
          <w:sz w:val="24"/>
          <w:szCs w:val="24"/>
        </w:rPr>
        <w:t xml:space="preserve"> transfer of disability and home</w:t>
      </w:r>
      <w:r>
        <w:rPr>
          <w:rFonts w:ascii="Arial" w:hAnsi="Arial" w:cs="Arial"/>
          <w:iCs/>
          <w:sz w:val="24"/>
          <w:szCs w:val="24"/>
        </w:rPr>
        <w:t xml:space="preserve"> </w:t>
      </w:r>
      <w:r w:rsidRPr="006F7787">
        <w:rPr>
          <w:rFonts w:ascii="Arial" w:hAnsi="Arial" w:cs="Arial"/>
          <w:iCs/>
          <w:sz w:val="24"/>
          <w:szCs w:val="24"/>
        </w:rPr>
        <w:t>care services from government to non-government providers</w:t>
      </w:r>
      <w:r>
        <w:rPr>
          <w:rFonts w:ascii="Arial" w:hAnsi="Arial" w:cs="Arial"/>
          <w:iCs/>
          <w:sz w:val="24"/>
          <w:szCs w:val="24"/>
        </w:rPr>
        <w:t>.</w:t>
      </w:r>
    </w:p>
    <w:p w14:paraId="68128DC2" w14:textId="77777777" w:rsidR="000F0F71" w:rsidRPr="006F7787" w:rsidRDefault="000F0F71" w:rsidP="000F0F71">
      <w:pPr>
        <w:rPr>
          <w:rFonts w:ascii="Arial" w:hAnsi="Arial" w:cs="Arial"/>
          <w:b/>
          <w:sz w:val="24"/>
          <w:szCs w:val="24"/>
        </w:rPr>
      </w:pPr>
      <w:r>
        <w:rPr>
          <w:rFonts w:ascii="Arial" w:hAnsi="Arial" w:cs="Arial"/>
          <w:b/>
          <w:sz w:val="24"/>
          <w:szCs w:val="24"/>
        </w:rPr>
        <w:t>Queensland</w:t>
      </w:r>
      <w:r w:rsidRPr="006F7787">
        <w:rPr>
          <w:rFonts w:ascii="Arial" w:hAnsi="Arial" w:cs="Arial"/>
          <w:b/>
          <w:sz w:val="24"/>
          <w:szCs w:val="24"/>
        </w:rPr>
        <w:tab/>
      </w:r>
    </w:p>
    <w:p w14:paraId="2AD536ED" w14:textId="77777777" w:rsidR="000F0F71" w:rsidRPr="006F7787" w:rsidRDefault="000F0F71" w:rsidP="000F0F71">
      <w:pPr>
        <w:pStyle w:val="ListParagraph"/>
        <w:numPr>
          <w:ilvl w:val="0"/>
          <w:numId w:val="39"/>
        </w:numPr>
        <w:rPr>
          <w:rFonts w:ascii="Arial" w:hAnsi="Arial" w:cs="Arial"/>
          <w:sz w:val="24"/>
          <w:szCs w:val="24"/>
        </w:rPr>
      </w:pPr>
      <w:r>
        <w:rPr>
          <w:rFonts w:ascii="Arial" w:hAnsi="Arial" w:cs="Arial"/>
          <w:sz w:val="24"/>
          <w:szCs w:val="24"/>
        </w:rPr>
        <w:t xml:space="preserve">Without a </w:t>
      </w:r>
      <w:r w:rsidRPr="006F7787">
        <w:rPr>
          <w:rFonts w:ascii="Arial" w:hAnsi="Arial" w:cs="Arial"/>
          <w:sz w:val="24"/>
          <w:szCs w:val="24"/>
        </w:rPr>
        <w:t>trial site</w:t>
      </w:r>
      <w:r w:rsidR="00D16346">
        <w:rPr>
          <w:rFonts w:ascii="Arial" w:hAnsi="Arial" w:cs="Arial"/>
          <w:sz w:val="24"/>
          <w:szCs w:val="24"/>
        </w:rPr>
        <w:t xml:space="preserve"> </w:t>
      </w:r>
      <w:r>
        <w:rPr>
          <w:rFonts w:ascii="Arial" w:hAnsi="Arial" w:cs="Arial"/>
          <w:sz w:val="24"/>
          <w:szCs w:val="24"/>
        </w:rPr>
        <w:t>until full r</w:t>
      </w:r>
      <w:r w:rsidRPr="006F7787">
        <w:rPr>
          <w:rFonts w:ascii="Arial" w:hAnsi="Arial" w:cs="Arial"/>
          <w:sz w:val="24"/>
          <w:szCs w:val="24"/>
        </w:rPr>
        <w:t xml:space="preserve">ollout of </w:t>
      </w:r>
      <w:r>
        <w:rPr>
          <w:rFonts w:ascii="Arial" w:hAnsi="Arial" w:cs="Arial"/>
          <w:sz w:val="24"/>
          <w:szCs w:val="24"/>
        </w:rPr>
        <w:t xml:space="preserve">the </w:t>
      </w:r>
      <w:r w:rsidRPr="006F7787">
        <w:rPr>
          <w:rFonts w:ascii="Arial" w:hAnsi="Arial" w:cs="Arial"/>
          <w:sz w:val="24"/>
          <w:szCs w:val="24"/>
        </w:rPr>
        <w:t>ND</w:t>
      </w:r>
      <w:r>
        <w:rPr>
          <w:rFonts w:ascii="Arial" w:hAnsi="Arial" w:cs="Arial"/>
          <w:sz w:val="24"/>
          <w:szCs w:val="24"/>
        </w:rPr>
        <w:t>I</w:t>
      </w:r>
      <w:r w:rsidRPr="006F7787">
        <w:rPr>
          <w:rFonts w:ascii="Arial" w:hAnsi="Arial" w:cs="Arial"/>
          <w:sz w:val="24"/>
          <w:szCs w:val="24"/>
        </w:rPr>
        <w:t>S</w:t>
      </w:r>
      <w:r>
        <w:rPr>
          <w:rFonts w:ascii="Arial" w:hAnsi="Arial" w:cs="Arial"/>
          <w:sz w:val="24"/>
          <w:szCs w:val="24"/>
        </w:rPr>
        <w:t>,</w:t>
      </w:r>
      <w:r w:rsidRPr="006F7787">
        <w:rPr>
          <w:rFonts w:ascii="Arial" w:hAnsi="Arial" w:cs="Arial"/>
          <w:sz w:val="24"/>
          <w:szCs w:val="24"/>
        </w:rPr>
        <w:t xml:space="preserve"> due to commence </w:t>
      </w:r>
      <w:r w:rsidR="00D16346">
        <w:rPr>
          <w:rFonts w:ascii="Arial" w:hAnsi="Arial" w:cs="Arial"/>
          <w:sz w:val="24"/>
          <w:szCs w:val="24"/>
        </w:rPr>
        <w:t xml:space="preserve">in </w:t>
      </w:r>
      <w:r w:rsidRPr="006F7787">
        <w:rPr>
          <w:rFonts w:ascii="Arial" w:hAnsi="Arial" w:cs="Arial"/>
          <w:sz w:val="24"/>
          <w:szCs w:val="24"/>
        </w:rPr>
        <w:t>July 2016</w:t>
      </w:r>
      <w:r w:rsidR="00D16346">
        <w:rPr>
          <w:rFonts w:ascii="Arial" w:hAnsi="Arial" w:cs="Arial"/>
          <w:sz w:val="24"/>
          <w:szCs w:val="24"/>
        </w:rPr>
        <w:t>, Queensland risks being under</w:t>
      </w:r>
      <w:r>
        <w:rPr>
          <w:rFonts w:ascii="Arial" w:hAnsi="Arial" w:cs="Arial"/>
          <w:sz w:val="24"/>
          <w:szCs w:val="24"/>
        </w:rPr>
        <w:t>prepared</w:t>
      </w:r>
    </w:p>
    <w:p w14:paraId="50A8E7B5" w14:textId="77777777" w:rsidR="000F0F71" w:rsidRDefault="000F0F71" w:rsidP="000F0F71">
      <w:pPr>
        <w:pStyle w:val="ListParagraph"/>
        <w:numPr>
          <w:ilvl w:val="0"/>
          <w:numId w:val="39"/>
        </w:numPr>
        <w:rPr>
          <w:rFonts w:ascii="Arial" w:hAnsi="Arial" w:cs="Arial"/>
          <w:b/>
          <w:sz w:val="24"/>
          <w:szCs w:val="24"/>
        </w:rPr>
      </w:pPr>
      <w:r>
        <w:rPr>
          <w:rFonts w:ascii="Arial" w:hAnsi="Arial" w:cs="Arial"/>
          <w:sz w:val="24"/>
          <w:szCs w:val="24"/>
        </w:rPr>
        <w:t>How</w:t>
      </w:r>
      <w:r w:rsidR="00D16346">
        <w:rPr>
          <w:rFonts w:ascii="Arial" w:hAnsi="Arial" w:cs="Arial"/>
          <w:sz w:val="24"/>
          <w:szCs w:val="24"/>
        </w:rPr>
        <w:t xml:space="preserve"> the disability market evolves </w:t>
      </w:r>
      <w:r>
        <w:rPr>
          <w:rFonts w:ascii="Arial" w:hAnsi="Arial" w:cs="Arial"/>
          <w:sz w:val="24"/>
          <w:szCs w:val="24"/>
        </w:rPr>
        <w:t>in the lead-up to the NDIS, since in Queensland 8</w:t>
      </w:r>
      <w:r w:rsidRPr="006F7787">
        <w:rPr>
          <w:rFonts w:ascii="Arial" w:hAnsi="Arial" w:cs="Arial"/>
          <w:sz w:val="24"/>
          <w:szCs w:val="24"/>
        </w:rPr>
        <w:t xml:space="preserve">0% of providers have turnover of less than </w:t>
      </w:r>
      <w:r>
        <w:rPr>
          <w:rFonts w:ascii="Arial" w:hAnsi="Arial" w:cs="Arial"/>
          <w:sz w:val="24"/>
          <w:szCs w:val="24"/>
        </w:rPr>
        <w:t>$</w:t>
      </w:r>
      <w:r w:rsidRPr="006F7787">
        <w:rPr>
          <w:rFonts w:ascii="Arial" w:hAnsi="Arial" w:cs="Arial"/>
          <w:sz w:val="24"/>
          <w:szCs w:val="24"/>
        </w:rPr>
        <w:t>2 million and many operate in rural and remote areas</w:t>
      </w:r>
      <w:r w:rsidR="00D16346">
        <w:rPr>
          <w:rFonts w:ascii="Arial" w:hAnsi="Arial" w:cs="Arial"/>
          <w:b/>
          <w:sz w:val="24"/>
          <w:szCs w:val="24"/>
        </w:rPr>
        <w:t>.</w:t>
      </w:r>
    </w:p>
    <w:p w14:paraId="7ACDDAC6" w14:textId="77777777" w:rsidR="000F0F71" w:rsidRPr="006F7787" w:rsidRDefault="000F0F71" w:rsidP="000F0F71">
      <w:pPr>
        <w:rPr>
          <w:rFonts w:ascii="Arial" w:hAnsi="Arial" w:cs="Arial"/>
          <w:b/>
          <w:sz w:val="24"/>
          <w:szCs w:val="24"/>
        </w:rPr>
      </w:pPr>
      <w:r w:rsidRPr="006F7787">
        <w:rPr>
          <w:rFonts w:ascii="Arial" w:hAnsi="Arial" w:cs="Arial"/>
          <w:b/>
          <w:sz w:val="24"/>
          <w:szCs w:val="24"/>
        </w:rPr>
        <w:t>South Australia</w:t>
      </w:r>
      <w:r w:rsidRPr="006F7787">
        <w:rPr>
          <w:rFonts w:ascii="Arial" w:hAnsi="Arial" w:cs="Arial"/>
          <w:b/>
          <w:sz w:val="24"/>
          <w:szCs w:val="24"/>
        </w:rPr>
        <w:tab/>
      </w:r>
    </w:p>
    <w:p w14:paraId="464EDDD5" w14:textId="77777777" w:rsidR="000F0F71" w:rsidRPr="006F7787" w:rsidRDefault="000F0F71" w:rsidP="000F0F71">
      <w:pPr>
        <w:pStyle w:val="ListParagraph"/>
        <w:numPr>
          <w:ilvl w:val="0"/>
          <w:numId w:val="32"/>
        </w:numPr>
        <w:rPr>
          <w:rFonts w:ascii="Arial" w:hAnsi="Arial" w:cs="Arial"/>
          <w:sz w:val="24"/>
          <w:szCs w:val="24"/>
        </w:rPr>
      </w:pPr>
      <w:r w:rsidRPr="006F7787">
        <w:rPr>
          <w:rFonts w:ascii="Arial" w:hAnsi="Arial" w:cs="Arial"/>
          <w:sz w:val="24"/>
          <w:szCs w:val="24"/>
        </w:rPr>
        <w:t>The</w:t>
      </w:r>
      <w:r>
        <w:rPr>
          <w:rFonts w:ascii="Arial" w:hAnsi="Arial" w:cs="Arial"/>
          <w:sz w:val="24"/>
          <w:szCs w:val="24"/>
        </w:rPr>
        <w:t xml:space="preserve"> tension around the</w:t>
      </w:r>
      <w:r w:rsidRPr="006F7787">
        <w:rPr>
          <w:rFonts w:ascii="Arial" w:hAnsi="Arial" w:cs="Arial"/>
          <w:sz w:val="24"/>
          <w:szCs w:val="24"/>
        </w:rPr>
        <w:t xml:space="preserve"> interface between the NDIA and other mainstream services </w:t>
      </w:r>
      <w:r>
        <w:rPr>
          <w:rFonts w:ascii="Arial" w:hAnsi="Arial" w:cs="Arial"/>
          <w:sz w:val="24"/>
          <w:szCs w:val="24"/>
        </w:rPr>
        <w:t xml:space="preserve">important to children, </w:t>
      </w:r>
      <w:r w:rsidRPr="006F7787">
        <w:rPr>
          <w:rFonts w:ascii="Arial" w:hAnsi="Arial" w:cs="Arial"/>
          <w:sz w:val="24"/>
          <w:szCs w:val="24"/>
        </w:rPr>
        <w:t xml:space="preserve">such as education and </w:t>
      </w:r>
      <w:r>
        <w:rPr>
          <w:rFonts w:ascii="Arial" w:hAnsi="Arial" w:cs="Arial"/>
          <w:sz w:val="24"/>
          <w:szCs w:val="24"/>
        </w:rPr>
        <w:t>h</w:t>
      </w:r>
      <w:r w:rsidRPr="006F7787">
        <w:rPr>
          <w:rFonts w:ascii="Arial" w:hAnsi="Arial" w:cs="Arial"/>
          <w:sz w:val="24"/>
          <w:szCs w:val="24"/>
        </w:rPr>
        <w:t>ealth</w:t>
      </w:r>
    </w:p>
    <w:p w14:paraId="5AA1109D" w14:textId="77777777" w:rsidR="000F0F71" w:rsidRPr="006F7787" w:rsidRDefault="000F0F71" w:rsidP="000F0F71">
      <w:pPr>
        <w:pStyle w:val="ListParagraph"/>
        <w:numPr>
          <w:ilvl w:val="0"/>
          <w:numId w:val="32"/>
        </w:numPr>
        <w:rPr>
          <w:rFonts w:ascii="Arial" w:hAnsi="Arial" w:cs="Arial"/>
          <w:sz w:val="24"/>
          <w:szCs w:val="24"/>
        </w:rPr>
      </w:pPr>
      <w:r>
        <w:rPr>
          <w:rFonts w:ascii="Arial" w:hAnsi="Arial" w:cs="Arial"/>
          <w:sz w:val="24"/>
          <w:szCs w:val="24"/>
        </w:rPr>
        <w:t>How the NDIA deals with the number of eligible participants</w:t>
      </w:r>
      <w:r w:rsidRPr="006F7787">
        <w:rPr>
          <w:rFonts w:ascii="Arial" w:hAnsi="Arial" w:cs="Arial"/>
          <w:sz w:val="24"/>
          <w:szCs w:val="24"/>
        </w:rPr>
        <w:t xml:space="preserve"> significantly exceed</w:t>
      </w:r>
      <w:r>
        <w:rPr>
          <w:rFonts w:ascii="Arial" w:hAnsi="Arial" w:cs="Arial"/>
          <w:sz w:val="24"/>
          <w:szCs w:val="24"/>
        </w:rPr>
        <w:t>ing</w:t>
      </w:r>
      <w:r w:rsidRPr="006F7787">
        <w:rPr>
          <w:rFonts w:ascii="Arial" w:hAnsi="Arial" w:cs="Arial"/>
          <w:sz w:val="24"/>
          <w:szCs w:val="24"/>
        </w:rPr>
        <w:t xml:space="preserve"> </w:t>
      </w:r>
      <w:r>
        <w:rPr>
          <w:rFonts w:ascii="Arial" w:hAnsi="Arial" w:cs="Arial"/>
          <w:sz w:val="24"/>
          <w:szCs w:val="24"/>
        </w:rPr>
        <w:t>the number in the agreement between governments</w:t>
      </w:r>
      <w:r w:rsidRPr="006F7787">
        <w:rPr>
          <w:rFonts w:ascii="Arial" w:hAnsi="Arial" w:cs="Arial"/>
          <w:sz w:val="24"/>
          <w:szCs w:val="24"/>
        </w:rPr>
        <w:t xml:space="preserve"> </w:t>
      </w:r>
    </w:p>
    <w:p w14:paraId="700747E0" w14:textId="77777777" w:rsidR="000F0F71" w:rsidRDefault="000F0F71" w:rsidP="000F0F71">
      <w:pPr>
        <w:pStyle w:val="ListParagraph"/>
        <w:numPr>
          <w:ilvl w:val="0"/>
          <w:numId w:val="32"/>
        </w:numPr>
        <w:rPr>
          <w:rFonts w:ascii="Arial" w:hAnsi="Arial" w:cs="Arial"/>
          <w:sz w:val="24"/>
          <w:szCs w:val="24"/>
        </w:rPr>
      </w:pPr>
      <w:r>
        <w:rPr>
          <w:rFonts w:ascii="Arial" w:hAnsi="Arial" w:cs="Arial"/>
          <w:sz w:val="24"/>
          <w:szCs w:val="24"/>
        </w:rPr>
        <w:t>New w</w:t>
      </w:r>
      <w:r w:rsidRPr="006F7787">
        <w:rPr>
          <w:rFonts w:ascii="Arial" w:hAnsi="Arial" w:cs="Arial"/>
          <w:sz w:val="24"/>
          <w:szCs w:val="24"/>
        </w:rPr>
        <w:t xml:space="preserve">orker </w:t>
      </w:r>
      <w:r>
        <w:rPr>
          <w:rFonts w:ascii="Arial" w:hAnsi="Arial" w:cs="Arial"/>
          <w:sz w:val="24"/>
          <w:szCs w:val="24"/>
        </w:rPr>
        <w:t xml:space="preserve">safety </w:t>
      </w:r>
      <w:r w:rsidRPr="006F7787">
        <w:rPr>
          <w:rFonts w:ascii="Arial" w:hAnsi="Arial" w:cs="Arial"/>
          <w:sz w:val="24"/>
          <w:szCs w:val="24"/>
        </w:rPr>
        <w:t>screening arrangements are expensive</w:t>
      </w:r>
      <w:r>
        <w:rPr>
          <w:rFonts w:ascii="Arial" w:hAnsi="Arial" w:cs="Arial"/>
          <w:sz w:val="24"/>
          <w:szCs w:val="24"/>
        </w:rPr>
        <w:t>,</w:t>
      </w:r>
      <w:r w:rsidRPr="006F7787">
        <w:rPr>
          <w:rFonts w:ascii="Arial" w:hAnsi="Arial" w:cs="Arial"/>
          <w:sz w:val="24"/>
          <w:szCs w:val="24"/>
        </w:rPr>
        <w:t xml:space="preserve"> slow and inefficient.</w:t>
      </w:r>
    </w:p>
    <w:p w14:paraId="625D4B58" w14:textId="77777777" w:rsidR="000F0F71" w:rsidRDefault="000F0F71" w:rsidP="000F0F71">
      <w:pPr>
        <w:rPr>
          <w:rFonts w:ascii="Arial" w:hAnsi="Arial" w:cs="Arial"/>
          <w:sz w:val="24"/>
          <w:szCs w:val="24"/>
        </w:rPr>
      </w:pPr>
      <w:r w:rsidRPr="006F7787">
        <w:rPr>
          <w:rFonts w:ascii="Arial" w:hAnsi="Arial" w:cs="Arial"/>
          <w:b/>
          <w:sz w:val="24"/>
          <w:szCs w:val="24"/>
        </w:rPr>
        <w:t>Tasmania</w:t>
      </w:r>
      <w:r w:rsidRPr="006F7787">
        <w:rPr>
          <w:rFonts w:ascii="Arial" w:hAnsi="Arial" w:cs="Arial"/>
          <w:sz w:val="24"/>
          <w:szCs w:val="24"/>
        </w:rPr>
        <w:tab/>
      </w:r>
    </w:p>
    <w:p w14:paraId="30204942" w14:textId="77777777" w:rsidR="000F0F71" w:rsidRPr="006F7787" w:rsidRDefault="000F0F71" w:rsidP="000F0F71">
      <w:pPr>
        <w:pStyle w:val="ListParagraph"/>
        <w:numPr>
          <w:ilvl w:val="0"/>
          <w:numId w:val="34"/>
        </w:numPr>
        <w:rPr>
          <w:rFonts w:ascii="Arial" w:hAnsi="Arial" w:cs="Arial"/>
          <w:sz w:val="24"/>
          <w:szCs w:val="24"/>
        </w:rPr>
      </w:pPr>
      <w:r>
        <w:rPr>
          <w:rFonts w:ascii="Arial" w:hAnsi="Arial" w:cs="Arial"/>
          <w:sz w:val="24"/>
          <w:szCs w:val="24"/>
        </w:rPr>
        <w:t>The effectiveness of the</w:t>
      </w:r>
      <w:r w:rsidRPr="006F7787">
        <w:rPr>
          <w:rFonts w:ascii="Arial" w:hAnsi="Arial" w:cs="Arial"/>
          <w:sz w:val="24"/>
          <w:szCs w:val="24"/>
        </w:rPr>
        <w:t xml:space="preserve"> school</w:t>
      </w:r>
      <w:r>
        <w:rPr>
          <w:rFonts w:ascii="Arial" w:hAnsi="Arial" w:cs="Arial"/>
          <w:sz w:val="24"/>
          <w:szCs w:val="24"/>
        </w:rPr>
        <w:t>-</w:t>
      </w:r>
      <w:r w:rsidRPr="006F7787">
        <w:rPr>
          <w:rFonts w:ascii="Arial" w:hAnsi="Arial" w:cs="Arial"/>
          <w:sz w:val="24"/>
          <w:szCs w:val="24"/>
        </w:rPr>
        <w:t>to</w:t>
      </w:r>
      <w:r>
        <w:rPr>
          <w:rFonts w:ascii="Arial" w:hAnsi="Arial" w:cs="Arial"/>
          <w:sz w:val="24"/>
          <w:szCs w:val="24"/>
        </w:rPr>
        <w:t>-</w:t>
      </w:r>
      <w:r w:rsidRPr="006F7787">
        <w:rPr>
          <w:rFonts w:ascii="Arial" w:hAnsi="Arial" w:cs="Arial"/>
          <w:sz w:val="24"/>
          <w:szCs w:val="24"/>
        </w:rPr>
        <w:t>work pathway</w:t>
      </w:r>
      <w:r>
        <w:rPr>
          <w:rFonts w:ascii="Arial" w:hAnsi="Arial" w:cs="Arial"/>
          <w:sz w:val="24"/>
          <w:szCs w:val="24"/>
        </w:rPr>
        <w:t xml:space="preserve"> being developed and tested by the NDIA</w:t>
      </w:r>
    </w:p>
    <w:p w14:paraId="61A73E18" w14:textId="77777777" w:rsidR="000F0F71" w:rsidRDefault="000F0F71" w:rsidP="000F0F71">
      <w:pPr>
        <w:pStyle w:val="ListParagraph"/>
        <w:numPr>
          <w:ilvl w:val="0"/>
          <w:numId w:val="34"/>
        </w:numPr>
        <w:rPr>
          <w:rFonts w:ascii="Arial" w:hAnsi="Arial" w:cs="Arial"/>
          <w:sz w:val="24"/>
          <w:szCs w:val="24"/>
        </w:rPr>
      </w:pPr>
      <w:r w:rsidRPr="006F7787">
        <w:rPr>
          <w:rFonts w:ascii="Arial" w:hAnsi="Arial" w:cs="Arial"/>
          <w:sz w:val="24"/>
          <w:szCs w:val="24"/>
        </w:rPr>
        <w:lastRenderedPageBreak/>
        <w:t xml:space="preserve">The </w:t>
      </w:r>
      <w:r>
        <w:rPr>
          <w:rFonts w:ascii="Arial" w:hAnsi="Arial" w:cs="Arial"/>
          <w:sz w:val="24"/>
          <w:szCs w:val="24"/>
        </w:rPr>
        <w:t>performance of the not-for-profit sector-run</w:t>
      </w:r>
      <w:r w:rsidRPr="006F7787">
        <w:rPr>
          <w:rFonts w:ascii="Arial" w:hAnsi="Arial" w:cs="Arial"/>
          <w:sz w:val="24"/>
          <w:szCs w:val="24"/>
        </w:rPr>
        <w:t xml:space="preserve"> </w:t>
      </w:r>
      <w:r>
        <w:rPr>
          <w:rFonts w:ascii="Arial" w:hAnsi="Arial" w:cs="Arial"/>
          <w:sz w:val="24"/>
          <w:szCs w:val="24"/>
        </w:rPr>
        <w:t>L</w:t>
      </w:r>
      <w:r w:rsidRPr="006F7787">
        <w:rPr>
          <w:rFonts w:ascii="Arial" w:hAnsi="Arial" w:cs="Arial"/>
          <w:sz w:val="24"/>
          <w:szCs w:val="24"/>
        </w:rPr>
        <w:t xml:space="preserve">ocal </w:t>
      </w:r>
      <w:r>
        <w:rPr>
          <w:rFonts w:ascii="Arial" w:hAnsi="Arial" w:cs="Arial"/>
          <w:sz w:val="24"/>
          <w:szCs w:val="24"/>
        </w:rPr>
        <w:t>A</w:t>
      </w:r>
      <w:r w:rsidRPr="006F7787">
        <w:rPr>
          <w:rFonts w:ascii="Arial" w:hAnsi="Arial" w:cs="Arial"/>
          <w:sz w:val="24"/>
          <w:szCs w:val="24"/>
        </w:rPr>
        <w:t xml:space="preserve">rea </w:t>
      </w:r>
      <w:r>
        <w:rPr>
          <w:rFonts w:ascii="Arial" w:hAnsi="Arial" w:cs="Arial"/>
          <w:sz w:val="24"/>
          <w:szCs w:val="24"/>
        </w:rPr>
        <w:t>C</w:t>
      </w:r>
      <w:r w:rsidRPr="006F7787">
        <w:rPr>
          <w:rFonts w:ascii="Arial" w:hAnsi="Arial" w:cs="Arial"/>
          <w:sz w:val="24"/>
          <w:szCs w:val="24"/>
        </w:rPr>
        <w:t>oordination</w:t>
      </w:r>
      <w:r>
        <w:rPr>
          <w:rFonts w:ascii="Arial" w:hAnsi="Arial" w:cs="Arial"/>
          <w:sz w:val="24"/>
          <w:szCs w:val="24"/>
        </w:rPr>
        <w:t xml:space="preserve"> that is being evaluated by the NDIA.</w:t>
      </w:r>
    </w:p>
    <w:p w14:paraId="680605BE" w14:textId="77777777" w:rsidR="000F0F71" w:rsidRDefault="000F0F71" w:rsidP="000F0F71">
      <w:pPr>
        <w:rPr>
          <w:rFonts w:ascii="Arial" w:hAnsi="Arial" w:cs="Arial"/>
          <w:sz w:val="24"/>
          <w:szCs w:val="24"/>
        </w:rPr>
      </w:pPr>
      <w:r w:rsidRPr="006F7787">
        <w:rPr>
          <w:rFonts w:ascii="Arial" w:hAnsi="Arial" w:cs="Arial"/>
          <w:b/>
          <w:sz w:val="24"/>
          <w:szCs w:val="24"/>
        </w:rPr>
        <w:t>Victoria</w:t>
      </w:r>
      <w:r w:rsidRPr="006F7787">
        <w:rPr>
          <w:rFonts w:ascii="Arial" w:hAnsi="Arial" w:cs="Arial"/>
          <w:sz w:val="24"/>
          <w:szCs w:val="24"/>
        </w:rPr>
        <w:tab/>
      </w:r>
    </w:p>
    <w:p w14:paraId="4A1740DC" w14:textId="77777777" w:rsidR="000F0F71" w:rsidRPr="006F7787" w:rsidRDefault="000F0F71" w:rsidP="000F0F71">
      <w:pPr>
        <w:pStyle w:val="ListParagraph"/>
        <w:numPr>
          <w:ilvl w:val="0"/>
          <w:numId w:val="37"/>
        </w:numPr>
        <w:rPr>
          <w:rFonts w:ascii="Arial" w:hAnsi="Arial" w:cs="Arial"/>
          <w:sz w:val="24"/>
          <w:szCs w:val="24"/>
        </w:rPr>
      </w:pPr>
      <w:r>
        <w:rPr>
          <w:rFonts w:ascii="Arial" w:hAnsi="Arial" w:cs="Arial"/>
          <w:sz w:val="24"/>
          <w:szCs w:val="24"/>
        </w:rPr>
        <w:t xml:space="preserve">How the </w:t>
      </w:r>
      <w:r w:rsidRPr="006F7787">
        <w:rPr>
          <w:rFonts w:ascii="Arial" w:hAnsi="Arial" w:cs="Arial"/>
          <w:sz w:val="24"/>
          <w:szCs w:val="24"/>
        </w:rPr>
        <w:t>NDIA</w:t>
      </w:r>
      <w:r>
        <w:rPr>
          <w:rFonts w:ascii="Arial" w:hAnsi="Arial" w:cs="Arial"/>
          <w:sz w:val="24"/>
          <w:szCs w:val="24"/>
        </w:rPr>
        <w:t xml:space="preserve"> will resolve the </w:t>
      </w:r>
      <w:r w:rsidRPr="006F7787">
        <w:rPr>
          <w:rFonts w:ascii="Arial" w:hAnsi="Arial" w:cs="Arial"/>
          <w:sz w:val="24"/>
          <w:szCs w:val="24"/>
        </w:rPr>
        <w:t>pricing arrangements</w:t>
      </w:r>
      <w:r>
        <w:rPr>
          <w:rFonts w:ascii="Arial" w:hAnsi="Arial" w:cs="Arial"/>
          <w:sz w:val="24"/>
          <w:szCs w:val="24"/>
        </w:rPr>
        <w:t xml:space="preserve">, </w:t>
      </w:r>
      <w:r w:rsidRPr="006F7787">
        <w:rPr>
          <w:rFonts w:ascii="Arial" w:hAnsi="Arial" w:cs="Arial"/>
          <w:sz w:val="24"/>
          <w:szCs w:val="24"/>
        </w:rPr>
        <w:t>the greatest challenge to prov</w:t>
      </w:r>
      <w:r>
        <w:rPr>
          <w:rFonts w:ascii="Arial" w:hAnsi="Arial" w:cs="Arial"/>
          <w:sz w:val="24"/>
          <w:szCs w:val="24"/>
        </w:rPr>
        <w:t>iders in trial sites</w:t>
      </w:r>
    </w:p>
    <w:p w14:paraId="792014E8" w14:textId="77777777" w:rsidR="000F0F71" w:rsidRPr="006F7787" w:rsidRDefault="000F0F71" w:rsidP="000F0F71">
      <w:pPr>
        <w:pStyle w:val="ListParagraph"/>
        <w:numPr>
          <w:ilvl w:val="0"/>
          <w:numId w:val="37"/>
        </w:numPr>
        <w:rPr>
          <w:rFonts w:ascii="Arial" w:hAnsi="Arial" w:cs="Arial"/>
          <w:sz w:val="24"/>
          <w:szCs w:val="24"/>
        </w:rPr>
      </w:pPr>
      <w:r>
        <w:rPr>
          <w:rFonts w:ascii="Arial" w:hAnsi="Arial" w:cs="Arial"/>
          <w:sz w:val="24"/>
          <w:szCs w:val="24"/>
        </w:rPr>
        <w:t>The landmark change that will see all children receiving</w:t>
      </w:r>
      <w:r w:rsidRPr="006F7787">
        <w:rPr>
          <w:rFonts w:ascii="Arial" w:hAnsi="Arial" w:cs="Arial"/>
          <w:sz w:val="24"/>
          <w:szCs w:val="24"/>
        </w:rPr>
        <w:t xml:space="preserve"> a single plan </w:t>
      </w:r>
      <w:r>
        <w:rPr>
          <w:rFonts w:ascii="Arial" w:hAnsi="Arial" w:cs="Arial"/>
          <w:sz w:val="24"/>
          <w:szCs w:val="24"/>
        </w:rPr>
        <w:t xml:space="preserve">for </w:t>
      </w:r>
      <w:r w:rsidRPr="006F7787">
        <w:rPr>
          <w:rFonts w:ascii="Arial" w:hAnsi="Arial" w:cs="Arial"/>
          <w:sz w:val="24"/>
          <w:szCs w:val="24"/>
        </w:rPr>
        <w:t>their disability, education and health needs</w:t>
      </w:r>
      <w:r>
        <w:rPr>
          <w:rFonts w:ascii="Arial" w:hAnsi="Arial" w:cs="Arial"/>
          <w:sz w:val="24"/>
          <w:szCs w:val="24"/>
        </w:rPr>
        <w:t xml:space="preserve"> in the Barwon trial site.</w:t>
      </w:r>
    </w:p>
    <w:p w14:paraId="5ECEF214" w14:textId="77777777" w:rsidR="000F0F71" w:rsidRDefault="000F0F71" w:rsidP="000F0F71">
      <w:pPr>
        <w:rPr>
          <w:rFonts w:ascii="Arial" w:hAnsi="Arial" w:cs="Arial"/>
          <w:sz w:val="24"/>
          <w:szCs w:val="24"/>
        </w:rPr>
      </w:pPr>
      <w:r w:rsidRPr="006F7787">
        <w:rPr>
          <w:rFonts w:ascii="Arial" w:hAnsi="Arial" w:cs="Arial"/>
          <w:b/>
          <w:sz w:val="24"/>
          <w:szCs w:val="24"/>
        </w:rPr>
        <w:t>Western Australia</w:t>
      </w:r>
      <w:r w:rsidRPr="006F7787">
        <w:rPr>
          <w:rFonts w:ascii="Arial" w:hAnsi="Arial" w:cs="Arial"/>
          <w:sz w:val="24"/>
          <w:szCs w:val="24"/>
        </w:rPr>
        <w:tab/>
      </w:r>
    </w:p>
    <w:p w14:paraId="4429D563" w14:textId="77777777" w:rsidR="000F0F71" w:rsidRPr="006F7787" w:rsidRDefault="000F0F71" w:rsidP="000F0F71">
      <w:pPr>
        <w:pStyle w:val="ListParagraph"/>
        <w:numPr>
          <w:ilvl w:val="0"/>
          <w:numId w:val="36"/>
        </w:numPr>
        <w:rPr>
          <w:rFonts w:ascii="Arial" w:hAnsi="Arial" w:cs="Arial"/>
          <w:sz w:val="24"/>
          <w:szCs w:val="24"/>
        </w:rPr>
      </w:pPr>
      <w:r>
        <w:rPr>
          <w:rFonts w:ascii="Arial" w:hAnsi="Arial" w:cs="Arial"/>
          <w:sz w:val="24"/>
          <w:szCs w:val="24"/>
        </w:rPr>
        <w:t xml:space="preserve">The testing of </w:t>
      </w:r>
      <w:r w:rsidRPr="006F7787">
        <w:rPr>
          <w:rFonts w:ascii="Arial" w:hAnsi="Arial" w:cs="Arial"/>
          <w:sz w:val="24"/>
          <w:szCs w:val="24"/>
        </w:rPr>
        <w:t xml:space="preserve"> two different models of governance </w:t>
      </w:r>
      <w:r>
        <w:rPr>
          <w:rFonts w:ascii="Arial" w:hAnsi="Arial" w:cs="Arial"/>
          <w:sz w:val="24"/>
          <w:szCs w:val="24"/>
        </w:rPr>
        <w:t>in the trial site administered by the NDIA and the My Way site administered by the WA Disability Services Commission</w:t>
      </w:r>
    </w:p>
    <w:p w14:paraId="13EC14EE" w14:textId="77777777" w:rsidR="000F0F71" w:rsidRDefault="000F0F71" w:rsidP="000F0F71">
      <w:pPr>
        <w:pStyle w:val="ListParagraph"/>
        <w:numPr>
          <w:ilvl w:val="0"/>
          <w:numId w:val="36"/>
        </w:numPr>
        <w:rPr>
          <w:rFonts w:ascii="Arial" w:hAnsi="Arial" w:cs="Arial"/>
          <w:sz w:val="24"/>
          <w:szCs w:val="24"/>
        </w:rPr>
      </w:pPr>
      <w:r>
        <w:rPr>
          <w:rFonts w:ascii="Arial" w:hAnsi="Arial" w:cs="Arial"/>
          <w:sz w:val="24"/>
          <w:szCs w:val="24"/>
        </w:rPr>
        <w:t xml:space="preserve">As yet, there is no agreement </w:t>
      </w:r>
      <w:r w:rsidRPr="006F7787">
        <w:rPr>
          <w:rFonts w:ascii="Arial" w:hAnsi="Arial" w:cs="Arial"/>
          <w:sz w:val="24"/>
          <w:szCs w:val="24"/>
        </w:rPr>
        <w:t>for</w:t>
      </w:r>
      <w:r>
        <w:rPr>
          <w:rFonts w:ascii="Arial" w:hAnsi="Arial" w:cs="Arial"/>
          <w:sz w:val="24"/>
          <w:szCs w:val="24"/>
        </w:rPr>
        <w:t xml:space="preserve"> the full rollout of the NDIS in Western Australia.</w:t>
      </w:r>
    </w:p>
    <w:p w14:paraId="62EB9965" w14:textId="77777777" w:rsidR="00B3266C" w:rsidRPr="00133CFB" w:rsidRDefault="00A251F6" w:rsidP="001F094B">
      <w:pPr>
        <w:pStyle w:val="Heading2"/>
      </w:pPr>
      <w:r>
        <w:t>T</w:t>
      </w:r>
      <w:r w:rsidR="00B3266C" w:rsidRPr="00133CFB">
        <w:t xml:space="preserve">rial site </w:t>
      </w:r>
      <w:bookmarkEnd w:id="101"/>
      <w:r w:rsidR="00C57EE8">
        <w:t>intelligence</w:t>
      </w:r>
    </w:p>
    <w:p w14:paraId="0368949B" w14:textId="77777777" w:rsidR="001A4A4A" w:rsidRDefault="001A4A4A" w:rsidP="001A4A4A">
      <w:pPr>
        <w:rPr>
          <w:rFonts w:ascii="Arial" w:hAnsi="Arial" w:cs="Arial"/>
          <w:sz w:val="24"/>
        </w:rPr>
      </w:pPr>
      <w:r>
        <w:rPr>
          <w:rFonts w:ascii="Arial" w:hAnsi="Arial" w:cs="Arial"/>
          <w:sz w:val="24"/>
        </w:rPr>
        <w:t>NDS is closely monitoring the implementation of the NDIS in trial sites,</w:t>
      </w:r>
      <w:r w:rsidRPr="000C6A7B">
        <w:rPr>
          <w:rFonts w:ascii="Arial" w:hAnsi="Arial" w:cs="Arial"/>
          <w:sz w:val="24"/>
        </w:rPr>
        <w:t xml:space="preserve"> </w:t>
      </w:r>
      <w:r>
        <w:rPr>
          <w:rFonts w:ascii="Arial" w:hAnsi="Arial" w:cs="Arial"/>
          <w:sz w:val="24"/>
        </w:rPr>
        <w:t xml:space="preserve">disseminating information to </w:t>
      </w:r>
      <w:r w:rsidRPr="000C6A7B">
        <w:rPr>
          <w:rFonts w:ascii="Arial" w:hAnsi="Arial" w:cs="Arial"/>
          <w:sz w:val="24"/>
        </w:rPr>
        <w:t>assist service providers to make decisions about their operations.</w:t>
      </w:r>
      <w:r>
        <w:rPr>
          <w:rFonts w:ascii="Arial" w:hAnsi="Arial" w:cs="Arial"/>
          <w:sz w:val="24"/>
        </w:rPr>
        <w:t xml:space="preserve"> </w:t>
      </w:r>
    </w:p>
    <w:p w14:paraId="5E19BAC6" w14:textId="77777777" w:rsidR="000C6A7B" w:rsidRPr="006F7787" w:rsidRDefault="00D55A6B" w:rsidP="001F094B">
      <w:pPr>
        <w:pStyle w:val="Heading2"/>
      </w:pPr>
      <w:r>
        <w:t>K</w:t>
      </w:r>
      <w:r w:rsidR="00C94B8A">
        <w:t>ey findings</w:t>
      </w:r>
      <w:r w:rsidR="00A751E3">
        <w:t xml:space="preserve"> </w:t>
      </w:r>
      <w:r w:rsidR="00C94B8A">
        <w:t>so far</w:t>
      </w:r>
    </w:p>
    <w:p w14:paraId="1C1F2E2D" w14:textId="77777777" w:rsidR="00B3266C" w:rsidRPr="00DD75DF" w:rsidRDefault="00B3266C" w:rsidP="00DD75DF">
      <w:pPr>
        <w:pStyle w:val="ListParagraph"/>
        <w:numPr>
          <w:ilvl w:val="0"/>
          <w:numId w:val="43"/>
        </w:numPr>
        <w:rPr>
          <w:rFonts w:ascii="Arial" w:hAnsi="Arial" w:cs="Arial"/>
          <w:sz w:val="24"/>
        </w:rPr>
      </w:pPr>
      <w:r w:rsidRPr="00DD75DF">
        <w:rPr>
          <w:rFonts w:ascii="Arial" w:hAnsi="Arial" w:cs="Arial"/>
          <w:sz w:val="24"/>
        </w:rPr>
        <w:t xml:space="preserve">Participant plans are enhanced by providers supporting and enabling participants to have meaningful discussions with planners. </w:t>
      </w:r>
    </w:p>
    <w:p w14:paraId="733B2B91" w14:textId="77777777" w:rsidR="00B3266C" w:rsidRPr="00DD75DF" w:rsidRDefault="00B3266C" w:rsidP="00DD75DF">
      <w:pPr>
        <w:pStyle w:val="ListParagraph"/>
        <w:numPr>
          <w:ilvl w:val="0"/>
          <w:numId w:val="43"/>
        </w:numPr>
        <w:rPr>
          <w:rFonts w:ascii="Arial" w:hAnsi="Arial" w:cs="Arial"/>
          <w:sz w:val="24"/>
        </w:rPr>
      </w:pPr>
      <w:r w:rsidRPr="00DD75DF">
        <w:rPr>
          <w:rFonts w:ascii="Arial" w:hAnsi="Arial" w:cs="Arial"/>
          <w:sz w:val="24"/>
        </w:rPr>
        <w:t>The NDIA plan</w:t>
      </w:r>
      <w:r w:rsidR="00283E01">
        <w:rPr>
          <w:rFonts w:ascii="Arial" w:hAnsi="Arial" w:cs="Arial"/>
          <w:sz w:val="24"/>
        </w:rPr>
        <w:t>s</w:t>
      </w:r>
      <w:r w:rsidRPr="00DD75DF">
        <w:rPr>
          <w:rFonts w:ascii="Arial" w:hAnsi="Arial" w:cs="Arial"/>
          <w:sz w:val="24"/>
        </w:rPr>
        <w:t xml:space="preserve"> </w:t>
      </w:r>
      <w:r w:rsidR="00283E01">
        <w:rPr>
          <w:rFonts w:ascii="Arial" w:hAnsi="Arial" w:cs="Arial"/>
          <w:sz w:val="24"/>
        </w:rPr>
        <w:t>are</w:t>
      </w:r>
      <w:r w:rsidRPr="00DD75DF">
        <w:rPr>
          <w:rFonts w:ascii="Arial" w:hAnsi="Arial" w:cs="Arial"/>
          <w:sz w:val="24"/>
        </w:rPr>
        <w:t xml:space="preserve"> a valuable source of demand data for providers and should be used to help shape decisions about future service offers. </w:t>
      </w:r>
      <w:r w:rsidR="00DD75DF">
        <w:rPr>
          <w:rFonts w:ascii="Arial" w:hAnsi="Arial" w:cs="Arial"/>
          <w:sz w:val="24"/>
        </w:rPr>
        <w:t xml:space="preserve">Providers have told </w:t>
      </w:r>
      <w:r w:rsidRPr="00DD75DF">
        <w:rPr>
          <w:rFonts w:ascii="Arial" w:hAnsi="Arial" w:cs="Arial"/>
          <w:sz w:val="24"/>
        </w:rPr>
        <w:t xml:space="preserve">NDS that many participants are </w:t>
      </w:r>
      <w:r w:rsidR="00D16346">
        <w:rPr>
          <w:rFonts w:ascii="Arial" w:hAnsi="Arial" w:cs="Arial"/>
          <w:sz w:val="24"/>
        </w:rPr>
        <w:t>selecting</w:t>
      </w:r>
      <w:r w:rsidRPr="00DD75DF">
        <w:rPr>
          <w:rFonts w:ascii="Arial" w:hAnsi="Arial" w:cs="Arial"/>
          <w:sz w:val="24"/>
        </w:rPr>
        <w:t xml:space="preserve"> their existing providers following the development of their first plans. </w:t>
      </w:r>
    </w:p>
    <w:p w14:paraId="400354DC" w14:textId="77777777" w:rsidR="00B3266C" w:rsidRPr="00DD75DF" w:rsidRDefault="00B3266C" w:rsidP="00DD75DF">
      <w:pPr>
        <w:pStyle w:val="ListParagraph"/>
        <w:numPr>
          <w:ilvl w:val="0"/>
          <w:numId w:val="43"/>
        </w:numPr>
        <w:rPr>
          <w:rFonts w:ascii="Arial" w:hAnsi="Arial" w:cs="Arial"/>
          <w:sz w:val="24"/>
        </w:rPr>
      </w:pPr>
      <w:r w:rsidRPr="00DD75DF">
        <w:rPr>
          <w:rFonts w:ascii="Arial" w:hAnsi="Arial" w:cs="Arial"/>
          <w:sz w:val="24"/>
        </w:rPr>
        <w:t>Understanding customer needs and preferences will help providers distinguish themselves in the market and retain and attract new customers</w:t>
      </w:r>
      <w:r w:rsidR="00D51799">
        <w:rPr>
          <w:rFonts w:ascii="Arial" w:hAnsi="Arial" w:cs="Arial"/>
          <w:sz w:val="24"/>
        </w:rPr>
        <w:t>.</w:t>
      </w:r>
    </w:p>
    <w:p w14:paraId="5ADB4713" w14:textId="77777777" w:rsidR="00B3266C" w:rsidRPr="00DD75DF" w:rsidRDefault="00B3266C" w:rsidP="00DD75DF">
      <w:pPr>
        <w:pStyle w:val="ListParagraph"/>
        <w:numPr>
          <w:ilvl w:val="0"/>
          <w:numId w:val="43"/>
        </w:numPr>
        <w:rPr>
          <w:rFonts w:ascii="Arial" w:hAnsi="Arial" w:cs="Arial"/>
          <w:sz w:val="24"/>
        </w:rPr>
      </w:pPr>
      <w:r w:rsidRPr="00DD75DF">
        <w:rPr>
          <w:rFonts w:ascii="Arial" w:hAnsi="Arial" w:cs="Arial"/>
          <w:sz w:val="24"/>
        </w:rPr>
        <w:t>Customer retention is not a given</w:t>
      </w:r>
      <w:r w:rsidR="006C61F2" w:rsidRPr="00DD75DF">
        <w:rPr>
          <w:rFonts w:ascii="Arial" w:hAnsi="Arial" w:cs="Arial"/>
          <w:sz w:val="24"/>
        </w:rPr>
        <w:t>,</w:t>
      </w:r>
      <w:r w:rsidRPr="00DD75DF">
        <w:rPr>
          <w:rFonts w:ascii="Arial" w:hAnsi="Arial" w:cs="Arial"/>
          <w:sz w:val="24"/>
        </w:rPr>
        <w:t xml:space="preserve"> and relies on providers being able to respond to changes in patterns and preferences of participants</w:t>
      </w:r>
    </w:p>
    <w:p w14:paraId="294284DC" w14:textId="77777777" w:rsidR="004E764F" w:rsidRPr="00133CFB" w:rsidRDefault="004E764F" w:rsidP="004E7B04">
      <w:pPr>
        <w:shd w:val="clear" w:color="auto" w:fill="FFFFFF"/>
        <w:spacing w:after="0" w:line="240" w:lineRule="auto"/>
        <w:rPr>
          <w:rFonts w:ascii="Arial" w:hAnsi="Arial" w:cs="Arial"/>
          <w:sz w:val="24"/>
        </w:rPr>
      </w:pPr>
      <w:r w:rsidRPr="00133CFB">
        <w:rPr>
          <w:rFonts w:ascii="Arial" w:hAnsi="Arial" w:cs="Arial"/>
          <w:sz w:val="24"/>
        </w:rPr>
        <w:t>Interviews with service providers in NDIS trial sites found:</w:t>
      </w:r>
    </w:p>
    <w:p w14:paraId="77EFC768" w14:textId="77777777" w:rsidR="004E764F" w:rsidRPr="00133CFB" w:rsidRDefault="004E764F" w:rsidP="004E7B04">
      <w:pPr>
        <w:shd w:val="clear" w:color="auto" w:fill="FFFFFF"/>
        <w:spacing w:after="0" w:line="240" w:lineRule="auto"/>
        <w:rPr>
          <w:rFonts w:ascii="Arial" w:hAnsi="Arial" w:cs="Arial"/>
          <w:sz w:val="24"/>
        </w:rPr>
      </w:pPr>
    </w:p>
    <w:p w14:paraId="44C1D8AB" w14:textId="77777777" w:rsidR="007D661E" w:rsidRDefault="00147856" w:rsidP="00D51799">
      <w:pPr>
        <w:pStyle w:val="ListParagraph"/>
        <w:numPr>
          <w:ilvl w:val="0"/>
          <w:numId w:val="20"/>
        </w:numPr>
        <w:shd w:val="clear" w:color="auto" w:fill="FFFFFF"/>
        <w:spacing w:after="0"/>
        <w:ind w:left="714" w:hanging="357"/>
        <w:rPr>
          <w:rFonts w:ascii="Arial" w:hAnsi="Arial" w:cs="Arial"/>
          <w:sz w:val="24"/>
        </w:rPr>
      </w:pPr>
      <w:r w:rsidRPr="007D661E">
        <w:rPr>
          <w:rFonts w:ascii="Arial" w:hAnsi="Arial" w:cs="Arial"/>
          <w:sz w:val="24"/>
        </w:rPr>
        <w:t>n</w:t>
      </w:r>
      <w:r w:rsidR="00031F51" w:rsidRPr="007D661E">
        <w:rPr>
          <w:rFonts w:ascii="Arial" w:hAnsi="Arial" w:cs="Arial"/>
          <w:sz w:val="24"/>
        </w:rPr>
        <w:t>ot-for-profit</w:t>
      </w:r>
      <w:r w:rsidR="00A751E3" w:rsidRPr="007D661E">
        <w:rPr>
          <w:rFonts w:ascii="Arial" w:hAnsi="Arial" w:cs="Arial"/>
          <w:sz w:val="24"/>
        </w:rPr>
        <w:t xml:space="preserve"> organisation</w:t>
      </w:r>
      <w:r w:rsidR="00031F51" w:rsidRPr="007D661E">
        <w:rPr>
          <w:rFonts w:ascii="Arial" w:hAnsi="Arial" w:cs="Arial"/>
          <w:sz w:val="24"/>
        </w:rPr>
        <w:t>s</w:t>
      </w:r>
      <w:r w:rsidR="0008123C" w:rsidRPr="007D661E">
        <w:rPr>
          <w:rFonts w:ascii="Arial" w:hAnsi="Arial" w:cs="Arial"/>
          <w:sz w:val="24"/>
        </w:rPr>
        <w:t xml:space="preserve"> report</w:t>
      </w:r>
      <w:r w:rsidR="004E764F" w:rsidRPr="007D661E">
        <w:rPr>
          <w:rFonts w:ascii="Arial" w:hAnsi="Arial" w:cs="Arial"/>
          <w:sz w:val="24"/>
        </w:rPr>
        <w:t xml:space="preserve"> having to extend their hours well beyond ordinary business hours to </w:t>
      </w:r>
      <w:r w:rsidRPr="007D661E">
        <w:rPr>
          <w:rFonts w:ascii="Arial" w:hAnsi="Arial" w:cs="Arial"/>
          <w:sz w:val="24"/>
        </w:rPr>
        <w:t>meet consumer preferences</w:t>
      </w:r>
    </w:p>
    <w:p w14:paraId="5BA1E393" w14:textId="77777777" w:rsidR="004E764F" w:rsidRPr="007D661E" w:rsidRDefault="00147856" w:rsidP="00D51799">
      <w:pPr>
        <w:pStyle w:val="ListParagraph"/>
        <w:numPr>
          <w:ilvl w:val="0"/>
          <w:numId w:val="20"/>
        </w:numPr>
        <w:shd w:val="clear" w:color="auto" w:fill="FFFFFF"/>
        <w:spacing w:after="0"/>
        <w:ind w:left="714" w:hanging="357"/>
        <w:rPr>
          <w:rFonts w:ascii="Arial" w:hAnsi="Arial" w:cs="Arial"/>
          <w:sz w:val="24"/>
        </w:rPr>
      </w:pPr>
      <w:r w:rsidRPr="007D661E">
        <w:rPr>
          <w:rFonts w:ascii="Arial" w:hAnsi="Arial" w:cs="Arial"/>
          <w:sz w:val="24"/>
        </w:rPr>
        <w:t>s</w:t>
      </w:r>
      <w:r w:rsidR="004E764F" w:rsidRPr="007D661E">
        <w:rPr>
          <w:rFonts w:ascii="Arial" w:hAnsi="Arial" w:cs="Arial"/>
          <w:sz w:val="24"/>
        </w:rPr>
        <w:t>upervision of and HR support for workers are more difficult when services are individualised</w:t>
      </w:r>
    </w:p>
    <w:p w14:paraId="6CA454DE" w14:textId="77777777" w:rsidR="004E764F" w:rsidRPr="00133CFB" w:rsidRDefault="00147856" w:rsidP="00D51799">
      <w:pPr>
        <w:pStyle w:val="ListParagraph"/>
        <w:numPr>
          <w:ilvl w:val="0"/>
          <w:numId w:val="20"/>
        </w:numPr>
        <w:shd w:val="clear" w:color="auto" w:fill="FFFFFF"/>
        <w:spacing w:after="0"/>
        <w:ind w:left="714" w:hanging="357"/>
        <w:rPr>
          <w:rFonts w:ascii="Arial" w:hAnsi="Arial" w:cs="Arial"/>
          <w:sz w:val="24"/>
        </w:rPr>
      </w:pPr>
      <w:r>
        <w:rPr>
          <w:rFonts w:ascii="Arial" w:hAnsi="Arial" w:cs="Arial"/>
          <w:sz w:val="24"/>
        </w:rPr>
        <w:t>w</w:t>
      </w:r>
      <w:r w:rsidR="004E764F" w:rsidRPr="00133CFB">
        <w:rPr>
          <w:rFonts w:ascii="Arial" w:hAnsi="Arial" w:cs="Arial"/>
          <w:sz w:val="24"/>
        </w:rPr>
        <w:t>ith an individualised service model, more workers are needed to support the same number of clients  </w:t>
      </w:r>
    </w:p>
    <w:p w14:paraId="7758BA03" w14:textId="77777777" w:rsidR="004E764F" w:rsidRPr="00133CFB" w:rsidRDefault="00147856" w:rsidP="00D51799">
      <w:pPr>
        <w:pStyle w:val="ListParagraph"/>
        <w:numPr>
          <w:ilvl w:val="0"/>
          <w:numId w:val="20"/>
        </w:numPr>
        <w:shd w:val="clear" w:color="auto" w:fill="FFFFFF"/>
        <w:spacing w:after="0"/>
        <w:ind w:left="714" w:hanging="357"/>
        <w:rPr>
          <w:rFonts w:ascii="Arial" w:hAnsi="Arial" w:cs="Arial"/>
          <w:sz w:val="24"/>
        </w:rPr>
      </w:pPr>
      <w:r>
        <w:rPr>
          <w:rFonts w:ascii="Arial" w:hAnsi="Arial" w:cs="Arial"/>
          <w:sz w:val="24"/>
        </w:rPr>
        <w:t>i</w:t>
      </w:r>
      <w:r w:rsidR="006C61F2">
        <w:rPr>
          <w:rFonts w:ascii="Arial" w:hAnsi="Arial" w:cs="Arial"/>
          <w:sz w:val="24"/>
        </w:rPr>
        <w:t>t is</w:t>
      </w:r>
      <w:r w:rsidR="004E764F" w:rsidRPr="00133CFB">
        <w:rPr>
          <w:rFonts w:ascii="Arial" w:hAnsi="Arial" w:cs="Arial"/>
          <w:sz w:val="24"/>
        </w:rPr>
        <w:t xml:space="preserve"> hard to fill short-hour shifts</w:t>
      </w:r>
    </w:p>
    <w:p w14:paraId="21E4FE8D" w14:textId="77777777" w:rsidR="004E764F" w:rsidRPr="00133CFB" w:rsidRDefault="00147856" w:rsidP="00D51799">
      <w:pPr>
        <w:pStyle w:val="ListParagraph"/>
        <w:numPr>
          <w:ilvl w:val="0"/>
          <w:numId w:val="20"/>
        </w:numPr>
        <w:shd w:val="clear" w:color="auto" w:fill="FFFFFF"/>
        <w:spacing w:after="0"/>
        <w:ind w:left="714" w:hanging="357"/>
        <w:rPr>
          <w:rFonts w:ascii="Arial" w:hAnsi="Arial" w:cs="Arial"/>
          <w:sz w:val="24"/>
        </w:rPr>
      </w:pPr>
      <w:r>
        <w:rPr>
          <w:rFonts w:ascii="Arial" w:hAnsi="Arial" w:cs="Arial"/>
          <w:sz w:val="24"/>
        </w:rPr>
        <w:t>l</w:t>
      </w:r>
      <w:r w:rsidR="004E764F" w:rsidRPr="00133CFB">
        <w:rPr>
          <w:rFonts w:ascii="Arial" w:hAnsi="Arial" w:cs="Arial"/>
          <w:sz w:val="24"/>
        </w:rPr>
        <w:t>ow prices threaten to erode the quality of support</w:t>
      </w:r>
    </w:p>
    <w:p w14:paraId="69062BA1" w14:textId="77777777" w:rsidR="004E764F" w:rsidRPr="00133CFB" w:rsidRDefault="00147856" w:rsidP="00D51799">
      <w:pPr>
        <w:pStyle w:val="ListParagraph"/>
        <w:numPr>
          <w:ilvl w:val="0"/>
          <w:numId w:val="20"/>
        </w:numPr>
        <w:shd w:val="clear" w:color="auto" w:fill="FFFFFF"/>
        <w:spacing w:after="0"/>
        <w:ind w:left="714" w:hanging="357"/>
        <w:rPr>
          <w:rFonts w:ascii="Arial" w:hAnsi="Arial" w:cs="Arial"/>
          <w:sz w:val="24"/>
        </w:rPr>
      </w:pPr>
      <w:r>
        <w:rPr>
          <w:rFonts w:ascii="Arial" w:hAnsi="Arial" w:cs="Arial"/>
          <w:sz w:val="24"/>
        </w:rPr>
        <w:lastRenderedPageBreak/>
        <w:t>e</w:t>
      </w:r>
      <w:r w:rsidR="004E764F" w:rsidRPr="00133CFB">
        <w:rPr>
          <w:rFonts w:ascii="Arial" w:hAnsi="Arial" w:cs="Arial"/>
          <w:sz w:val="24"/>
        </w:rPr>
        <w:t xml:space="preserve">mployers </w:t>
      </w:r>
      <w:r w:rsidR="000D0C56">
        <w:rPr>
          <w:rFonts w:ascii="Arial" w:hAnsi="Arial" w:cs="Arial"/>
          <w:sz w:val="24"/>
        </w:rPr>
        <w:t>would like more flexibility in</w:t>
      </w:r>
      <w:r w:rsidR="004E764F" w:rsidRPr="00133CFB">
        <w:rPr>
          <w:rFonts w:ascii="Arial" w:hAnsi="Arial" w:cs="Arial"/>
          <w:sz w:val="24"/>
        </w:rPr>
        <w:t xml:space="preserve"> some clauses in the </w:t>
      </w:r>
      <w:r w:rsidR="006C61F2" w:rsidRPr="006C61F2">
        <w:rPr>
          <w:rFonts w:ascii="Arial" w:hAnsi="Arial" w:cs="Arial"/>
          <w:sz w:val="24"/>
        </w:rPr>
        <w:t>Social, Community, Home Care and Disability Services (</w:t>
      </w:r>
      <w:r w:rsidR="006C61F2" w:rsidRPr="006C61F2">
        <w:rPr>
          <w:rFonts w:ascii="Arial" w:hAnsi="Arial" w:cs="Arial"/>
          <w:bCs/>
          <w:sz w:val="24"/>
        </w:rPr>
        <w:t>SCHADS</w:t>
      </w:r>
      <w:r w:rsidR="006C61F2" w:rsidRPr="006C61F2">
        <w:rPr>
          <w:rFonts w:ascii="Arial" w:hAnsi="Arial" w:cs="Arial"/>
          <w:sz w:val="24"/>
        </w:rPr>
        <w:t>) </w:t>
      </w:r>
      <w:r w:rsidR="004E764F" w:rsidRPr="00133CFB">
        <w:rPr>
          <w:rFonts w:ascii="Arial" w:hAnsi="Arial" w:cs="Arial"/>
          <w:sz w:val="24"/>
        </w:rPr>
        <w:t>Award  </w:t>
      </w:r>
    </w:p>
    <w:p w14:paraId="2CC4B979" w14:textId="77777777" w:rsidR="004E764F" w:rsidRPr="00133CFB" w:rsidRDefault="00147856" w:rsidP="00D51799">
      <w:pPr>
        <w:pStyle w:val="ListParagraph"/>
        <w:numPr>
          <w:ilvl w:val="0"/>
          <w:numId w:val="20"/>
        </w:numPr>
        <w:shd w:val="clear" w:color="auto" w:fill="FFFFFF"/>
        <w:spacing w:after="0"/>
        <w:ind w:left="714" w:hanging="357"/>
        <w:rPr>
          <w:rFonts w:ascii="Arial" w:hAnsi="Arial" w:cs="Arial"/>
          <w:sz w:val="24"/>
        </w:rPr>
      </w:pPr>
      <w:r>
        <w:rPr>
          <w:rFonts w:ascii="Arial" w:hAnsi="Arial" w:cs="Arial"/>
          <w:sz w:val="24"/>
        </w:rPr>
        <w:t>w</w:t>
      </w:r>
      <w:r w:rsidR="004E764F" w:rsidRPr="00133CFB">
        <w:rPr>
          <w:rFonts w:ascii="Arial" w:hAnsi="Arial" w:cs="Arial"/>
          <w:sz w:val="24"/>
        </w:rPr>
        <w:t>orkers report job satisfaction from supporting people to achieve their goals</w:t>
      </w:r>
      <w:r w:rsidR="001D5FBB">
        <w:rPr>
          <w:rFonts w:ascii="Arial" w:hAnsi="Arial" w:cs="Arial"/>
          <w:sz w:val="24"/>
        </w:rPr>
        <w:t>.</w:t>
      </w:r>
    </w:p>
    <w:p w14:paraId="120C25B6" w14:textId="77777777" w:rsidR="00B3266C" w:rsidRPr="00133CFB" w:rsidRDefault="00B3266C" w:rsidP="001F094B">
      <w:pPr>
        <w:pStyle w:val="Heading2"/>
      </w:pPr>
      <w:bookmarkStart w:id="102" w:name="_Toc403038230"/>
      <w:bookmarkStart w:id="103" w:name="_Toc403051761"/>
      <w:bookmarkStart w:id="104" w:name="_Toc404089920"/>
      <w:r w:rsidRPr="00133CFB">
        <w:t>Trial site providers – an analysis</w:t>
      </w:r>
      <w:bookmarkEnd w:id="102"/>
      <w:bookmarkEnd w:id="103"/>
      <w:bookmarkEnd w:id="104"/>
    </w:p>
    <w:p w14:paraId="770F66EB" w14:textId="77777777" w:rsidR="00B3266C" w:rsidRPr="00133CFB" w:rsidRDefault="001D5FBB" w:rsidP="004E7B04">
      <w:pPr>
        <w:rPr>
          <w:rFonts w:ascii="Arial" w:hAnsi="Arial" w:cs="Arial"/>
          <w:sz w:val="24"/>
          <w:szCs w:val="24"/>
        </w:rPr>
      </w:pPr>
      <w:r>
        <w:rPr>
          <w:rFonts w:ascii="Arial" w:hAnsi="Arial" w:cs="Arial"/>
          <w:sz w:val="24"/>
          <w:szCs w:val="24"/>
        </w:rPr>
        <w:t>The trial sites had a total of</w:t>
      </w:r>
      <w:r w:rsidR="00B3266C" w:rsidRPr="00133CFB">
        <w:rPr>
          <w:rFonts w:ascii="Arial" w:hAnsi="Arial" w:cs="Arial"/>
          <w:sz w:val="24"/>
          <w:szCs w:val="24"/>
        </w:rPr>
        <w:t xml:space="preserve"> 1,220 registered providers in June 2014. Sole traders </w:t>
      </w:r>
      <w:r w:rsidR="002727C6">
        <w:rPr>
          <w:rFonts w:ascii="Arial" w:hAnsi="Arial" w:cs="Arial"/>
          <w:sz w:val="24"/>
          <w:szCs w:val="24"/>
        </w:rPr>
        <w:t>were</w:t>
      </w:r>
      <w:r w:rsidR="00B3266C" w:rsidRPr="00133CFB">
        <w:rPr>
          <w:rFonts w:ascii="Arial" w:hAnsi="Arial" w:cs="Arial"/>
          <w:sz w:val="24"/>
          <w:szCs w:val="24"/>
        </w:rPr>
        <w:t xml:space="preserve"> the largest </w:t>
      </w:r>
      <w:r w:rsidR="002727C6">
        <w:rPr>
          <w:rFonts w:ascii="Arial" w:hAnsi="Arial" w:cs="Arial"/>
          <w:sz w:val="24"/>
          <w:szCs w:val="24"/>
        </w:rPr>
        <w:t>group</w:t>
      </w:r>
      <w:r w:rsidR="00B3266C" w:rsidRPr="00133CFB">
        <w:rPr>
          <w:rFonts w:ascii="Arial" w:hAnsi="Arial" w:cs="Arial"/>
          <w:sz w:val="24"/>
          <w:szCs w:val="24"/>
        </w:rPr>
        <w:t xml:space="preserve"> (32%), closely followed by not-for-profit (27%) and</w:t>
      </w:r>
      <w:r w:rsidR="00172506" w:rsidRPr="00133CFB">
        <w:rPr>
          <w:rFonts w:ascii="Arial" w:hAnsi="Arial" w:cs="Arial"/>
          <w:sz w:val="24"/>
          <w:szCs w:val="24"/>
        </w:rPr>
        <w:t xml:space="preserve"> for-profit (26%) organisations</w:t>
      </w:r>
      <w:r w:rsidR="002727C6">
        <w:rPr>
          <w:rFonts w:ascii="Arial" w:hAnsi="Arial" w:cs="Arial"/>
          <w:sz w:val="24"/>
          <w:szCs w:val="24"/>
        </w:rPr>
        <w:t xml:space="preserve"> </w:t>
      </w:r>
      <w:r w:rsidR="008E0B37">
        <w:rPr>
          <w:rFonts w:ascii="Arial" w:hAnsi="Arial" w:cs="Arial"/>
          <w:sz w:val="24"/>
          <w:szCs w:val="24"/>
        </w:rPr>
        <w:t>(Fi</w:t>
      </w:r>
      <w:r w:rsidR="00B61CA0">
        <w:rPr>
          <w:rFonts w:ascii="Arial" w:hAnsi="Arial" w:cs="Arial"/>
          <w:sz w:val="24"/>
          <w:szCs w:val="24"/>
        </w:rPr>
        <w:t xml:space="preserve">gure </w:t>
      </w:r>
      <w:r w:rsidR="004733A4">
        <w:rPr>
          <w:rFonts w:ascii="Arial" w:hAnsi="Arial" w:cs="Arial"/>
          <w:sz w:val="24"/>
          <w:szCs w:val="24"/>
        </w:rPr>
        <w:t>6</w:t>
      </w:r>
      <w:r w:rsidR="008E0B37">
        <w:rPr>
          <w:rFonts w:ascii="Arial" w:hAnsi="Arial" w:cs="Arial"/>
          <w:sz w:val="24"/>
          <w:szCs w:val="24"/>
        </w:rPr>
        <w:t>)</w:t>
      </w:r>
      <w:r w:rsidR="00B3266C" w:rsidRPr="00133CFB">
        <w:rPr>
          <w:rFonts w:ascii="Arial" w:hAnsi="Arial" w:cs="Arial"/>
          <w:sz w:val="24"/>
          <w:szCs w:val="24"/>
        </w:rPr>
        <w:t>.</w:t>
      </w:r>
      <w:r w:rsidR="00E34A1A">
        <w:rPr>
          <w:rFonts w:ascii="Arial" w:hAnsi="Arial" w:cs="Arial"/>
          <w:sz w:val="24"/>
          <w:szCs w:val="24"/>
        </w:rPr>
        <w:t xml:space="preserve"> These figures bear no resemblance to market share.</w:t>
      </w:r>
    </w:p>
    <w:p w14:paraId="24EC413B" w14:textId="77777777" w:rsidR="000C6A7B" w:rsidRPr="000C6A7B" w:rsidRDefault="001D5FBB" w:rsidP="00447F2C">
      <w:pPr>
        <w:pStyle w:val="Subtitle"/>
      </w:pPr>
      <w:r>
        <w:t>Figure</w:t>
      </w:r>
      <w:r w:rsidR="00C94B8A">
        <w:t xml:space="preserve"> </w:t>
      </w:r>
      <w:r w:rsidR="004733A4">
        <w:t>6</w:t>
      </w:r>
      <w:r>
        <w:t>: p</w:t>
      </w:r>
      <w:r w:rsidR="000C6A7B">
        <w:t>ercentage</w:t>
      </w:r>
      <w:r w:rsidR="00B3266C" w:rsidRPr="006C61F2">
        <w:t xml:space="preserve"> of registered providers </w:t>
      </w:r>
      <w:r w:rsidR="000C6A7B">
        <w:t xml:space="preserve">in the NDIS </w:t>
      </w:r>
      <w:r>
        <w:t>trial</w:t>
      </w:r>
      <w:r w:rsidR="000C6A7B">
        <w:t xml:space="preserve"> sites</w:t>
      </w:r>
      <w:r w:rsidR="000C6A7B">
        <w:rPr>
          <w:noProof/>
          <w:color w:val="1F497D"/>
          <w:lang w:eastAsia="en-AU"/>
        </w:rPr>
        <w:drawing>
          <wp:inline distT="0" distB="0" distL="0" distR="0" wp14:anchorId="4FC29924" wp14:editId="7779E5F9">
            <wp:extent cx="3149600" cy="3349232"/>
            <wp:effectExtent l="0" t="0" r="0" b="3810"/>
            <wp:docPr id="13" name="Picture 13" descr="Pie chart showing that 32 per cent of registered trial site providers are sole traders; 27 per cent are non-for-profits; 26 per cent are for-profits; 6 per cent are trusts; 4 per cent are partnerships; 3 per cent are government; and two per cent are unknown." title="Figure 6: percentage of registered providers in the NDIS trial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04AE.F599C3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53017" cy="3352865"/>
                    </a:xfrm>
                    <a:prstGeom prst="rect">
                      <a:avLst/>
                    </a:prstGeom>
                    <a:noFill/>
                    <a:ln>
                      <a:noFill/>
                    </a:ln>
                  </pic:spPr>
                </pic:pic>
              </a:graphicData>
            </a:graphic>
          </wp:inline>
        </w:drawing>
      </w:r>
    </w:p>
    <w:p w14:paraId="168F31A7" w14:textId="77777777" w:rsidR="009F2ADA" w:rsidRDefault="009F2ADA" w:rsidP="004E7B04">
      <w:pPr>
        <w:rPr>
          <w:rFonts w:ascii="Arial" w:hAnsi="Arial" w:cs="Arial"/>
          <w:sz w:val="24"/>
        </w:rPr>
      </w:pPr>
    </w:p>
    <w:p w14:paraId="0E709682" w14:textId="77777777" w:rsidR="00B3266C" w:rsidRPr="006C61F2" w:rsidRDefault="000C6A7B" w:rsidP="004E7B04">
      <w:pPr>
        <w:rPr>
          <w:rFonts w:ascii="Arial" w:eastAsiaTheme="majorEastAsia" w:hAnsi="Arial" w:cs="Arial"/>
          <w:iCs/>
          <w:spacing w:val="13"/>
          <w:sz w:val="24"/>
          <w:szCs w:val="24"/>
        </w:rPr>
      </w:pPr>
      <w:r w:rsidRPr="000F0F71">
        <w:rPr>
          <w:rFonts w:ascii="Arial" w:hAnsi="Arial" w:cs="Arial"/>
          <w:sz w:val="24"/>
        </w:rPr>
        <w:t xml:space="preserve">In the first </w:t>
      </w:r>
      <w:r w:rsidR="001D5FBB" w:rsidRPr="000F0F71">
        <w:rPr>
          <w:rFonts w:ascii="Arial" w:hAnsi="Arial" w:cs="Arial"/>
          <w:sz w:val="24"/>
        </w:rPr>
        <w:t>y</w:t>
      </w:r>
      <w:r w:rsidRPr="000F0F71">
        <w:rPr>
          <w:rFonts w:ascii="Arial" w:hAnsi="Arial" w:cs="Arial"/>
          <w:sz w:val="24"/>
        </w:rPr>
        <w:t>ear of the NDIS</w:t>
      </w:r>
      <w:r w:rsidR="001D5FBB" w:rsidRPr="000F0F71">
        <w:rPr>
          <w:rFonts w:ascii="Arial" w:hAnsi="Arial" w:cs="Arial"/>
          <w:sz w:val="24"/>
        </w:rPr>
        <w:t>,</w:t>
      </w:r>
      <w:r w:rsidRPr="000F0F71">
        <w:rPr>
          <w:rFonts w:ascii="Arial" w:hAnsi="Arial" w:cs="Arial"/>
          <w:sz w:val="24"/>
        </w:rPr>
        <w:t xml:space="preserve"> </w:t>
      </w:r>
      <w:r w:rsidR="001D5FBB" w:rsidRPr="000F0F71">
        <w:rPr>
          <w:rFonts w:ascii="Arial" w:hAnsi="Arial" w:cs="Arial"/>
          <w:sz w:val="24"/>
        </w:rPr>
        <w:t>most</w:t>
      </w:r>
      <w:r w:rsidRPr="000F0F71">
        <w:rPr>
          <w:rFonts w:ascii="Arial" w:hAnsi="Arial" w:cs="Arial"/>
          <w:sz w:val="24"/>
        </w:rPr>
        <w:t xml:space="preserve"> sole traders registered to provide therapeutic</w:t>
      </w:r>
      <w:r w:rsidR="00B3266C" w:rsidRPr="000F0F71">
        <w:rPr>
          <w:rFonts w:ascii="Arial" w:hAnsi="Arial" w:cs="Arial"/>
          <w:sz w:val="24"/>
        </w:rPr>
        <w:t xml:space="preserve"> supports, the specialised assessment of skills, abilities and needs</w:t>
      </w:r>
      <w:r w:rsidR="001D5FBB" w:rsidRPr="000F0F71">
        <w:rPr>
          <w:rFonts w:ascii="Arial" w:hAnsi="Arial" w:cs="Arial"/>
          <w:sz w:val="24"/>
        </w:rPr>
        <w:t>,</w:t>
      </w:r>
      <w:r w:rsidR="00B3266C" w:rsidRPr="000F0F71">
        <w:rPr>
          <w:rFonts w:ascii="Arial" w:hAnsi="Arial" w:cs="Arial"/>
          <w:sz w:val="24"/>
        </w:rPr>
        <w:t xml:space="preserve"> and early </w:t>
      </w:r>
      <w:bookmarkStart w:id="105" w:name="_Ref402531080"/>
      <w:r w:rsidR="00344B28" w:rsidRPr="000F0F71">
        <w:rPr>
          <w:rFonts w:ascii="Arial" w:hAnsi="Arial" w:cs="Arial"/>
          <w:sz w:val="24"/>
        </w:rPr>
        <w:t>childhood</w:t>
      </w:r>
      <w:r w:rsidRPr="000F0F71">
        <w:rPr>
          <w:rFonts w:ascii="Arial" w:hAnsi="Arial" w:cs="Arial"/>
          <w:sz w:val="24"/>
        </w:rPr>
        <w:t xml:space="preserve"> supports</w:t>
      </w:r>
      <w:r w:rsidR="000F0F71">
        <w:rPr>
          <w:rFonts w:ascii="Arial" w:hAnsi="Arial" w:cs="Arial"/>
          <w:sz w:val="24"/>
        </w:rPr>
        <w:t xml:space="preserve"> (Figure </w:t>
      </w:r>
      <w:r w:rsidR="004733A4">
        <w:rPr>
          <w:rFonts w:ascii="Arial" w:hAnsi="Arial" w:cs="Arial"/>
          <w:sz w:val="24"/>
        </w:rPr>
        <w:t>7</w:t>
      </w:r>
      <w:r w:rsidR="000F0F71">
        <w:rPr>
          <w:rFonts w:ascii="Arial" w:hAnsi="Arial" w:cs="Arial"/>
          <w:sz w:val="24"/>
        </w:rPr>
        <w:t>)</w:t>
      </w:r>
      <w:r w:rsidRPr="000F0F71">
        <w:rPr>
          <w:rFonts w:ascii="Arial" w:hAnsi="Arial" w:cs="Arial"/>
          <w:sz w:val="24"/>
        </w:rPr>
        <w:t>.</w:t>
      </w:r>
      <w:r w:rsidR="009A5DD5" w:rsidRPr="00133CFB">
        <w:rPr>
          <w:rFonts w:ascii="Arial" w:hAnsi="Arial" w:cs="Arial"/>
          <w:sz w:val="24"/>
        </w:rPr>
        <w:br/>
      </w:r>
      <w:r w:rsidR="00B3266C" w:rsidRPr="00C94B8A">
        <w:rPr>
          <w:rStyle w:val="SubtitleChar"/>
        </w:rPr>
        <w:lastRenderedPageBreak/>
        <w:t xml:space="preserve">Figure </w:t>
      </w:r>
      <w:bookmarkEnd w:id="105"/>
      <w:r w:rsidR="004733A4">
        <w:rPr>
          <w:rStyle w:val="SubtitleChar"/>
        </w:rPr>
        <w:t>7</w:t>
      </w:r>
      <w:r w:rsidR="00B3266C" w:rsidRPr="00C94B8A">
        <w:rPr>
          <w:rStyle w:val="SubtitleChar"/>
        </w:rPr>
        <w:t>: providers regist</w:t>
      </w:r>
      <w:r w:rsidR="006C61F2" w:rsidRPr="00C94B8A">
        <w:rPr>
          <w:rStyle w:val="SubtitleChar"/>
        </w:rPr>
        <w:t xml:space="preserve">ered for each support, national </w:t>
      </w:r>
      <w:r w:rsidR="00B3266C" w:rsidRPr="00C94B8A">
        <w:rPr>
          <w:rStyle w:val="SubtitleChar"/>
        </w:rPr>
        <w:t>(except NT</w:t>
      </w:r>
      <w:r w:rsidR="006C61F2" w:rsidRPr="00C94B8A">
        <w:rPr>
          <w:rStyle w:val="SubtitleChar"/>
        </w:rPr>
        <w:t xml:space="preserve">, </w:t>
      </w:r>
      <w:r w:rsidR="00B3266C" w:rsidRPr="00C94B8A">
        <w:rPr>
          <w:rStyle w:val="SubtitleChar"/>
        </w:rPr>
        <w:t>WA)</w:t>
      </w:r>
      <w:r w:rsidR="00B3266C" w:rsidRPr="00133CFB">
        <w:rPr>
          <w:rFonts w:ascii="Arial" w:hAnsi="Arial" w:cs="Arial"/>
          <w:noProof/>
          <w:lang w:eastAsia="en-AU"/>
        </w:rPr>
        <w:drawing>
          <wp:inline distT="0" distB="0" distL="0" distR="0" wp14:anchorId="1A7870E1" wp14:editId="198F1F1D">
            <wp:extent cx="4371975" cy="6604322"/>
            <wp:effectExtent l="19050" t="19050" r="9525" b="25400"/>
            <wp:docPr id="35" name="Picture 35" descr="A bar chart showing the breakdown of services that providers are registered for as follows:&#10;Therapeutic supports 49%&#10;Assess-Skill, Ability, Needs 45%&#10;Participate Community 27%&#10;Development-Life Skills 25%&#10;Early Childhood Supports 25%&#10;Household tasks 23%&#10;Assist-Personal Activities 23%&#10;Assist-Life Stage, Transition 22%&#10;Equipment Special Assess Setup 20%&#10;Training-Travel Independence 18%&#10;Assist-Travel/Transport 18%&#10;Other innovative supports 16%&#10;Daily Tasks/Shared Living 16%&#10;Assist-Integrate School/Ed 15%&#10;Behaviour support 14%&#10;Accommodation/Tenancy 14%&#10;Assist Prod-Pers Care/Safety 12%&#10;Personal Mobility Equipment 12%&#10;Plan Management 11%&#10;Physical Wellbeing 10%&#10;Assistive Equip-General Tasks 9%&#10;Assistive Equip-Recreation 9%&#10;Assist Access/Maintain Employ 9%&#10;Assistive prod-Household Task 8%&#10;Home Modification 7%&#10;Community Nursing Care 6%&#10;Comms &amp; Info Equipment 5%&#10;Vision Equipment 3%&#10;Vehicle modications 2%&#10;Interpret/Translate 2%&#10;Hearing Equipment 2%&#10;The support services that providers were most commonly registered for were personal assistance support." title="Figure 7: providers registered for each support, national (except NT,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0552" cy="6617279"/>
                    </a:xfrm>
                    <a:prstGeom prst="rect">
                      <a:avLst/>
                    </a:prstGeom>
                    <a:noFill/>
                    <a:ln w="12700">
                      <a:solidFill>
                        <a:schemeClr val="tx1"/>
                      </a:solidFill>
                    </a:ln>
                  </pic:spPr>
                </pic:pic>
              </a:graphicData>
            </a:graphic>
          </wp:inline>
        </w:drawing>
      </w:r>
    </w:p>
    <w:p w14:paraId="104AAD9B" w14:textId="77777777" w:rsidR="004D65A8" w:rsidRDefault="004D65A8">
      <w:pPr>
        <w:rPr>
          <w:rFonts w:ascii="Arial" w:eastAsiaTheme="majorEastAsia" w:hAnsi="Arial" w:cs="Arial"/>
          <w:b/>
          <w:bCs/>
          <w:sz w:val="28"/>
          <w:szCs w:val="28"/>
        </w:rPr>
      </w:pPr>
      <w:bookmarkStart w:id="106" w:name="_Toc402532481"/>
      <w:bookmarkStart w:id="107" w:name="_Toc402940529"/>
      <w:bookmarkStart w:id="108" w:name="_Toc403038232"/>
      <w:bookmarkStart w:id="109" w:name="_Toc403043426"/>
      <w:bookmarkStart w:id="110" w:name="_Toc403043510"/>
      <w:bookmarkStart w:id="111" w:name="_Toc403043594"/>
      <w:bookmarkStart w:id="112" w:name="_Toc403043684"/>
      <w:bookmarkStart w:id="113" w:name="_Toc403047788"/>
      <w:bookmarkStart w:id="114" w:name="_Toc403051764"/>
      <w:bookmarkStart w:id="115" w:name="_Toc403317280"/>
      <w:bookmarkStart w:id="116" w:name="_Toc403317588"/>
      <w:bookmarkStart w:id="117" w:name="_Toc403318300"/>
      <w:bookmarkStart w:id="118" w:name="_Toc403318371"/>
      <w:bookmarkStart w:id="119" w:name="_Toc403318404"/>
      <w:bookmarkStart w:id="120" w:name="_Toc403319815"/>
      <w:bookmarkStart w:id="121" w:name="_Toc403319871"/>
      <w:bookmarkStart w:id="122" w:name="_Toc403332097"/>
      <w:bookmarkStart w:id="123" w:name="_Toc403895980"/>
      <w:bookmarkStart w:id="124" w:name="_Toc403896047"/>
      <w:bookmarkStart w:id="125" w:name="_Toc403897079"/>
      <w:bookmarkStart w:id="126" w:name="_Toc403900493"/>
      <w:bookmarkStart w:id="127" w:name="_Toc403900592"/>
      <w:bookmarkStart w:id="128" w:name="_Toc403900664"/>
      <w:bookmarkStart w:id="129" w:name="_Toc403900966"/>
      <w:bookmarkStart w:id="130" w:name="_Toc404000301"/>
      <w:bookmarkStart w:id="131" w:name="_Toc404000393"/>
      <w:bookmarkStart w:id="132" w:name="_Toc404000580"/>
      <w:bookmarkStart w:id="133" w:name="_Toc404000646"/>
      <w:bookmarkStart w:id="134" w:name="_Toc404089612"/>
      <w:bookmarkStart w:id="135" w:name="_Toc404089677"/>
      <w:bookmarkStart w:id="136" w:name="_Toc404089743"/>
      <w:bookmarkStart w:id="137" w:name="_Toc404089857"/>
      <w:bookmarkStart w:id="138" w:name="_Toc404089921"/>
      <w:bookmarkStart w:id="139" w:name="_Toc404255269"/>
      <w:bookmarkStart w:id="140" w:name="_Toc404255334"/>
      <w:bookmarkStart w:id="141" w:name="_Toc404255427"/>
      <w:bookmarkStart w:id="142" w:name="_Toc403038233"/>
      <w:bookmarkStart w:id="143" w:name="_Toc40305176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cs="Arial"/>
        </w:rPr>
        <w:br w:type="page"/>
      </w:r>
    </w:p>
    <w:p w14:paraId="1BF2C583" w14:textId="77777777" w:rsidR="004D65A8" w:rsidRDefault="004D65A8" w:rsidP="001F094B">
      <w:pPr>
        <w:pStyle w:val="Heading2"/>
      </w:pPr>
      <w:bookmarkStart w:id="144" w:name="_Toc403038236"/>
      <w:bookmarkStart w:id="145" w:name="_Toc403051768"/>
      <w:bookmarkStart w:id="146" w:name="_Toc404089925"/>
      <w:bookmarkEnd w:id="142"/>
      <w:bookmarkEnd w:id="143"/>
      <w:r>
        <w:lastRenderedPageBreak/>
        <w:t>Pricing and costing</w:t>
      </w:r>
    </w:p>
    <w:p w14:paraId="4B9000E4" w14:textId="77777777" w:rsidR="004F2E69" w:rsidRPr="00133CFB" w:rsidRDefault="004F2E69" w:rsidP="004F2E69">
      <w:pPr>
        <w:rPr>
          <w:rFonts w:ascii="Arial" w:hAnsi="Arial" w:cs="Arial"/>
          <w:sz w:val="24"/>
        </w:rPr>
      </w:pPr>
      <w:r>
        <w:rPr>
          <w:rFonts w:ascii="Arial" w:hAnsi="Arial" w:cs="Arial"/>
          <w:sz w:val="24"/>
        </w:rPr>
        <w:t xml:space="preserve">Acting on sector concerns over the inadequacy of some service prices, </w:t>
      </w:r>
      <w:r w:rsidRPr="00133CFB">
        <w:rPr>
          <w:rFonts w:ascii="Arial" w:hAnsi="Arial" w:cs="Arial"/>
          <w:sz w:val="24"/>
        </w:rPr>
        <w:t xml:space="preserve">the NDIA and NDS agreed </w:t>
      </w:r>
      <w:r>
        <w:rPr>
          <w:rFonts w:ascii="Arial" w:hAnsi="Arial" w:cs="Arial"/>
          <w:sz w:val="24"/>
        </w:rPr>
        <w:t xml:space="preserve">in May 2014 </w:t>
      </w:r>
      <w:r w:rsidRPr="00133CFB">
        <w:rPr>
          <w:rFonts w:ascii="Arial" w:hAnsi="Arial" w:cs="Arial"/>
          <w:sz w:val="24"/>
        </w:rPr>
        <w:t xml:space="preserve">to establish a joint working group to make recommendations on pricing. The </w:t>
      </w:r>
      <w:r>
        <w:rPr>
          <w:rFonts w:ascii="Arial" w:hAnsi="Arial" w:cs="Arial"/>
          <w:sz w:val="24"/>
        </w:rPr>
        <w:t xml:space="preserve">group’s </w:t>
      </w:r>
      <w:r w:rsidRPr="00133CFB">
        <w:rPr>
          <w:rFonts w:ascii="Arial" w:hAnsi="Arial" w:cs="Arial"/>
          <w:sz w:val="24"/>
        </w:rPr>
        <w:t xml:space="preserve">final report presented a </w:t>
      </w:r>
      <w:r>
        <w:rPr>
          <w:rFonts w:ascii="Arial" w:hAnsi="Arial" w:cs="Arial"/>
          <w:sz w:val="24"/>
        </w:rPr>
        <w:t>pricing method</w:t>
      </w:r>
      <w:r w:rsidRPr="00133CFB">
        <w:rPr>
          <w:rFonts w:ascii="Arial" w:hAnsi="Arial" w:cs="Arial"/>
          <w:sz w:val="24"/>
        </w:rPr>
        <w:t xml:space="preserve"> </w:t>
      </w:r>
      <w:r w:rsidRPr="006C61F2">
        <w:rPr>
          <w:rFonts w:ascii="Arial" w:hAnsi="Arial" w:cs="Arial"/>
          <w:sz w:val="24"/>
        </w:rPr>
        <w:t>– the reasonable cost model –</w:t>
      </w:r>
      <w:r w:rsidRPr="00133CFB">
        <w:rPr>
          <w:rFonts w:ascii="Arial" w:hAnsi="Arial" w:cs="Arial"/>
          <w:sz w:val="24"/>
        </w:rPr>
        <w:t xml:space="preserve"> and recommended price</w:t>
      </w:r>
      <w:r w:rsidR="00344B28">
        <w:rPr>
          <w:rFonts w:ascii="Arial" w:hAnsi="Arial" w:cs="Arial"/>
          <w:sz w:val="24"/>
        </w:rPr>
        <w:t xml:space="preserve"> increase</w:t>
      </w:r>
      <w:r w:rsidRPr="00133CFB">
        <w:rPr>
          <w:rFonts w:ascii="Arial" w:hAnsi="Arial" w:cs="Arial"/>
          <w:sz w:val="24"/>
        </w:rPr>
        <w:t xml:space="preserve">s. </w:t>
      </w:r>
    </w:p>
    <w:p w14:paraId="6E7EFD8C" w14:textId="77777777" w:rsidR="002F63DF" w:rsidRDefault="004F2E69" w:rsidP="004F2E69">
      <w:pPr>
        <w:rPr>
          <w:rFonts w:ascii="Arial" w:hAnsi="Arial" w:cs="Arial"/>
          <w:sz w:val="25"/>
          <w:szCs w:val="25"/>
        </w:rPr>
      </w:pPr>
      <w:r>
        <w:rPr>
          <w:rFonts w:ascii="Arial" w:hAnsi="Arial" w:cs="Arial"/>
          <w:sz w:val="24"/>
        </w:rPr>
        <w:t xml:space="preserve">However, the NDIA’s revised prices, published in June 2014, reflect only some of the group’s recommendations. The NDIA agreed on the methodology of the reasonable cost model and the need for further data to better inform price-setting. There was also agreement in principle on deregulation of maximum prices, but the NDIA will not act on this until the market is more mature. Negotiation between the NDIA and NDS on the pricing issue is ongoing. </w:t>
      </w:r>
    </w:p>
    <w:p w14:paraId="18D1D215" w14:textId="77777777" w:rsidR="003A6A5D" w:rsidRPr="004D65A8" w:rsidRDefault="002F63DF" w:rsidP="001F094B">
      <w:pPr>
        <w:pStyle w:val="Heading2"/>
      </w:pPr>
      <w:bookmarkStart w:id="147" w:name="_Toc403038274"/>
      <w:bookmarkStart w:id="148" w:name="_Toc403051801"/>
      <w:bookmarkStart w:id="149" w:name="_Toc404089927"/>
      <w:bookmarkEnd w:id="144"/>
      <w:bookmarkEnd w:id="145"/>
      <w:bookmarkEnd w:id="146"/>
      <w:r w:rsidRPr="004D65A8">
        <w:t xml:space="preserve">Impact on </w:t>
      </w:r>
      <w:bookmarkEnd w:id="147"/>
      <w:bookmarkEnd w:id="148"/>
      <w:bookmarkEnd w:id="149"/>
      <w:r w:rsidRPr="004D65A8">
        <w:t>working conditions</w:t>
      </w:r>
    </w:p>
    <w:p w14:paraId="44752A99" w14:textId="77777777" w:rsidR="003A6A5D" w:rsidRPr="00133CFB" w:rsidRDefault="002F63DF" w:rsidP="004E7B04">
      <w:pPr>
        <w:rPr>
          <w:rFonts w:ascii="Arial" w:hAnsi="Arial" w:cs="Arial"/>
          <w:sz w:val="24"/>
          <w:szCs w:val="24"/>
        </w:rPr>
      </w:pPr>
      <w:r w:rsidRPr="004D65A8">
        <w:rPr>
          <w:rFonts w:ascii="Arial" w:hAnsi="Arial" w:cs="Arial"/>
          <w:sz w:val="24"/>
          <w:szCs w:val="24"/>
        </w:rPr>
        <w:t>A</w:t>
      </w:r>
      <w:r w:rsidR="003A6A5D" w:rsidRPr="004D65A8">
        <w:rPr>
          <w:rFonts w:ascii="Arial" w:hAnsi="Arial" w:cs="Arial"/>
          <w:sz w:val="24"/>
          <w:szCs w:val="24"/>
        </w:rPr>
        <w:t xml:space="preserve"> risk </w:t>
      </w:r>
      <w:r w:rsidRPr="004D65A8">
        <w:rPr>
          <w:rFonts w:ascii="Arial" w:hAnsi="Arial" w:cs="Arial"/>
          <w:sz w:val="24"/>
          <w:szCs w:val="24"/>
        </w:rPr>
        <w:t xml:space="preserve">resulting from the NDIS </w:t>
      </w:r>
      <w:r w:rsidR="00FE0D3F" w:rsidRPr="004D65A8">
        <w:rPr>
          <w:rFonts w:ascii="Arial" w:hAnsi="Arial" w:cs="Arial"/>
          <w:sz w:val="24"/>
          <w:szCs w:val="24"/>
        </w:rPr>
        <w:t>is the potential for over-</w:t>
      </w:r>
      <w:r w:rsidR="002B6556">
        <w:rPr>
          <w:rFonts w:ascii="Arial" w:hAnsi="Arial" w:cs="Arial"/>
          <w:sz w:val="24"/>
          <w:szCs w:val="24"/>
        </w:rPr>
        <w:t xml:space="preserve">reliance on casual </w:t>
      </w:r>
      <w:r w:rsidR="003A6A5D" w:rsidRPr="004D65A8">
        <w:rPr>
          <w:rFonts w:ascii="Arial" w:hAnsi="Arial" w:cs="Arial"/>
          <w:sz w:val="24"/>
          <w:szCs w:val="24"/>
        </w:rPr>
        <w:t>employment</w:t>
      </w:r>
      <w:r w:rsidRPr="004D65A8">
        <w:rPr>
          <w:rFonts w:ascii="Arial" w:hAnsi="Arial" w:cs="Arial"/>
          <w:sz w:val="24"/>
          <w:szCs w:val="24"/>
        </w:rPr>
        <w:t>,</w:t>
      </w:r>
      <w:r w:rsidR="003A6A5D" w:rsidRPr="004D65A8">
        <w:rPr>
          <w:rFonts w:ascii="Arial" w:hAnsi="Arial" w:cs="Arial"/>
          <w:sz w:val="24"/>
          <w:szCs w:val="24"/>
        </w:rPr>
        <w:t xml:space="preserve"> as </w:t>
      </w:r>
      <w:r w:rsidR="00FC0F0B">
        <w:rPr>
          <w:rFonts w:ascii="Arial" w:hAnsi="Arial" w:cs="Arial"/>
          <w:sz w:val="24"/>
          <w:szCs w:val="24"/>
        </w:rPr>
        <w:t>providers</w:t>
      </w:r>
      <w:r w:rsidR="003A6A5D" w:rsidRPr="004D65A8">
        <w:rPr>
          <w:rFonts w:ascii="Arial" w:hAnsi="Arial" w:cs="Arial"/>
          <w:sz w:val="24"/>
          <w:szCs w:val="24"/>
        </w:rPr>
        <w:t xml:space="preserve"> try to meet demand for more flexible </w:t>
      </w:r>
      <w:r w:rsidR="00454A1B">
        <w:rPr>
          <w:rFonts w:ascii="Arial" w:hAnsi="Arial" w:cs="Arial"/>
          <w:sz w:val="24"/>
          <w:szCs w:val="24"/>
        </w:rPr>
        <w:t>support arrangements</w:t>
      </w:r>
      <w:r w:rsidRPr="004D65A8">
        <w:rPr>
          <w:rFonts w:ascii="Arial" w:hAnsi="Arial" w:cs="Arial"/>
          <w:sz w:val="24"/>
          <w:szCs w:val="24"/>
        </w:rPr>
        <w:t>.</w:t>
      </w:r>
      <w:r w:rsidR="003A6A5D" w:rsidRPr="004D65A8">
        <w:rPr>
          <w:rFonts w:ascii="Arial" w:hAnsi="Arial" w:cs="Arial"/>
          <w:sz w:val="24"/>
          <w:szCs w:val="24"/>
        </w:rPr>
        <w:t xml:space="preserve"> </w:t>
      </w:r>
      <w:r w:rsidRPr="004D65A8">
        <w:rPr>
          <w:rFonts w:ascii="Arial" w:hAnsi="Arial" w:cs="Arial"/>
          <w:sz w:val="24"/>
          <w:szCs w:val="24"/>
        </w:rPr>
        <w:t xml:space="preserve">This will impact </w:t>
      </w:r>
      <w:r w:rsidR="00454A1B">
        <w:rPr>
          <w:rFonts w:ascii="Arial" w:hAnsi="Arial" w:cs="Arial"/>
          <w:sz w:val="24"/>
          <w:szCs w:val="24"/>
        </w:rPr>
        <w:t xml:space="preserve">on providers’ ability to </w:t>
      </w:r>
      <w:r w:rsidR="003A6A5D" w:rsidRPr="004D65A8">
        <w:rPr>
          <w:rFonts w:ascii="Arial" w:hAnsi="Arial" w:cs="Arial"/>
          <w:sz w:val="24"/>
          <w:szCs w:val="24"/>
        </w:rPr>
        <w:t>recruit and retain</w:t>
      </w:r>
      <w:r w:rsidR="00454A1B">
        <w:rPr>
          <w:rFonts w:ascii="Arial" w:hAnsi="Arial" w:cs="Arial"/>
          <w:sz w:val="24"/>
          <w:szCs w:val="24"/>
        </w:rPr>
        <w:t xml:space="preserve"> their </w:t>
      </w:r>
      <w:r w:rsidR="003A6A5D" w:rsidRPr="004D65A8">
        <w:rPr>
          <w:rFonts w:ascii="Arial" w:hAnsi="Arial" w:cs="Arial"/>
          <w:sz w:val="24"/>
          <w:szCs w:val="24"/>
        </w:rPr>
        <w:t xml:space="preserve">workforce, </w:t>
      </w:r>
      <w:r w:rsidR="00454A1B">
        <w:rPr>
          <w:rFonts w:ascii="Arial" w:hAnsi="Arial" w:cs="Arial"/>
          <w:sz w:val="24"/>
          <w:szCs w:val="24"/>
        </w:rPr>
        <w:t xml:space="preserve">and on </w:t>
      </w:r>
      <w:r w:rsidRPr="000F0F71">
        <w:rPr>
          <w:rFonts w:ascii="Arial" w:hAnsi="Arial" w:cs="Arial"/>
          <w:sz w:val="24"/>
          <w:szCs w:val="24"/>
        </w:rPr>
        <w:t xml:space="preserve">consistency of support </w:t>
      </w:r>
      <w:r w:rsidR="000F0F71">
        <w:rPr>
          <w:rFonts w:ascii="Arial" w:hAnsi="Arial" w:cs="Arial"/>
          <w:sz w:val="24"/>
          <w:szCs w:val="24"/>
        </w:rPr>
        <w:t>workers</w:t>
      </w:r>
      <w:r w:rsidR="003A6A5D" w:rsidRPr="000F0F71">
        <w:rPr>
          <w:rFonts w:ascii="Arial" w:hAnsi="Arial" w:cs="Arial"/>
          <w:sz w:val="24"/>
          <w:szCs w:val="24"/>
        </w:rPr>
        <w:t xml:space="preserve"> for</w:t>
      </w:r>
      <w:r w:rsidR="003A6A5D" w:rsidRPr="004D65A8">
        <w:rPr>
          <w:rFonts w:ascii="Arial" w:hAnsi="Arial" w:cs="Arial"/>
          <w:sz w:val="24"/>
          <w:szCs w:val="24"/>
        </w:rPr>
        <w:t xml:space="preserve"> people with disability.</w:t>
      </w:r>
      <w:r w:rsidR="003A6A5D" w:rsidRPr="00133CFB">
        <w:rPr>
          <w:rFonts w:ascii="Arial" w:hAnsi="Arial" w:cs="Arial"/>
          <w:sz w:val="24"/>
          <w:szCs w:val="24"/>
        </w:rPr>
        <w:t xml:space="preserve"> </w:t>
      </w:r>
    </w:p>
    <w:p w14:paraId="5DF0078C" w14:textId="77777777" w:rsidR="000C6A7B" w:rsidRDefault="00166B9B" w:rsidP="00166B9B">
      <w:pPr>
        <w:rPr>
          <w:rFonts w:ascii="Arial" w:hAnsi="Arial" w:cs="Arial"/>
          <w:sz w:val="24"/>
          <w:szCs w:val="24"/>
        </w:rPr>
      </w:pPr>
      <w:r w:rsidRPr="00AB4D29">
        <w:rPr>
          <w:rFonts w:ascii="Arial" w:hAnsi="Arial" w:cs="Arial"/>
          <w:sz w:val="24"/>
          <w:szCs w:val="24"/>
        </w:rPr>
        <w:t xml:space="preserve">The Fair Work Commission is required to review all </w:t>
      </w:r>
      <w:r w:rsidR="00454A1B">
        <w:rPr>
          <w:rFonts w:ascii="Arial" w:hAnsi="Arial" w:cs="Arial"/>
          <w:sz w:val="24"/>
          <w:szCs w:val="24"/>
        </w:rPr>
        <w:t>M</w:t>
      </w:r>
      <w:r w:rsidRPr="00AB4D29">
        <w:rPr>
          <w:rFonts w:ascii="Arial" w:hAnsi="Arial" w:cs="Arial"/>
          <w:sz w:val="24"/>
          <w:szCs w:val="24"/>
        </w:rPr>
        <w:t xml:space="preserve">odern </w:t>
      </w:r>
      <w:r w:rsidR="00454A1B">
        <w:rPr>
          <w:rFonts w:ascii="Arial" w:hAnsi="Arial" w:cs="Arial"/>
          <w:sz w:val="24"/>
          <w:szCs w:val="24"/>
        </w:rPr>
        <w:t>A</w:t>
      </w:r>
      <w:r w:rsidRPr="00AB4D29">
        <w:rPr>
          <w:rFonts w:ascii="Arial" w:hAnsi="Arial" w:cs="Arial"/>
          <w:sz w:val="24"/>
          <w:szCs w:val="24"/>
        </w:rPr>
        <w:t xml:space="preserve">wards every four years to ensure they provide a fair and relevant safety net of terms and conditions. The </w:t>
      </w:r>
      <w:r w:rsidR="004D65A8">
        <w:rPr>
          <w:rFonts w:ascii="Arial" w:hAnsi="Arial" w:cs="Arial"/>
          <w:sz w:val="24"/>
          <w:szCs w:val="24"/>
        </w:rPr>
        <w:t>SCHADS</w:t>
      </w:r>
      <w:r w:rsidRPr="00AB4D29">
        <w:rPr>
          <w:rFonts w:ascii="Arial" w:hAnsi="Arial" w:cs="Arial"/>
          <w:sz w:val="24"/>
          <w:szCs w:val="24"/>
        </w:rPr>
        <w:t xml:space="preserve"> </w:t>
      </w:r>
      <w:r w:rsidR="002B6556">
        <w:rPr>
          <w:rFonts w:ascii="Arial" w:hAnsi="Arial" w:cs="Arial"/>
          <w:sz w:val="24"/>
          <w:szCs w:val="24"/>
        </w:rPr>
        <w:t>A</w:t>
      </w:r>
      <w:r w:rsidRPr="00AB4D29">
        <w:rPr>
          <w:rFonts w:ascii="Arial" w:hAnsi="Arial" w:cs="Arial"/>
          <w:sz w:val="24"/>
          <w:szCs w:val="24"/>
        </w:rPr>
        <w:t xml:space="preserve">ward </w:t>
      </w:r>
      <w:r w:rsidR="00DD0D71">
        <w:rPr>
          <w:rFonts w:ascii="Arial" w:hAnsi="Arial" w:cs="Arial"/>
          <w:sz w:val="24"/>
          <w:szCs w:val="24"/>
        </w:rPr>
        <w:t xml:space="preserve">may not be reviewed </w:t>
      </w:r>
      <w:r w:rsidRPr="00AB4D29">
        <w:rPr>
          <w:rFonts w:ascii="Arial" w:hAnsi="Arial" w:cs="Arial"/>
          <w:sz w:val="24"/>
          <w:szCs w:val="24"/>
        </w:rPr>
        <w:t xml:space="preserve">until 2016. </w:t>
      </w:r>
    </w:p>
    <w:p w14:paraId="5C5E6923" w14:textId="77777777" w:rsidR="00166B9B" w:rsidRPr="00AB4D29" w:rsidRDefault="00166B9B" w:rsidP="00166B9B">
      <w:pPr>
        <w:rPr>
          <w:rFonts w:ascii="Arial" w:hAnsi="Arial" w:cs="Arial"/>
          <w:sz w:val="24"/>
          <w:szCs w:val="24"/>
        </w:rPr>
      </w:pPr>
      <w:r w:rsidRPr="00133CFB">
        <w:rPr>
          <w:rFonts w:ascii="Arial" w:hAnsi="Arial" w:cs="Arial"/>
          <w:sz w:val="24"/>
          <w:szCs w:val="24"/>
        </w:rPr>
        <w:t xml:space="preserve">NDS is seeking certain variations and clarifications to </w:t>
      </w:r>
      <w:r w:rsidR="004D65A8">
        <w:rPr>
          <w:rFonts w:ascii="Arial" w:hAnsi="Arial" w:cs="Arial"/>
          <w:sz w:val="24"/>
          <w:szCs w:val="24"/>
        </w:rPr>
        <w:t>a</w:t>
      </w:r>
      <w:r w:rsidRPr="00133CFB">
        <w:rPr>
          <w:rFonts w:ascii="Arial" w:hAnsi="Arial" w:cs="Arial"/>
          <w:sz w:val="24"/>
          <w:szCs w:val="24"/>
        </w:rPr>
        <w:t>ward conditions that respond to the changing nature of disability service</w:t>
      </w:r>
      <w:r w:rsidR="002D6110">
        <w:rPr>
          <w:rFonts w:ascii="Arial" w:hAnsi="Arial" w:cs="Arial"/>
          <w:sz w:val="24"/>
          <w:szCs w:val="24"/>
        </w:rPr>
        <w:t>s</w:t>
      </w:r>
      <w:r>
        <w:rPr>
          <w:rFonts w:ascii="Arial" w:hAnsi="Arial" w:cs="Arial"/>
          <w:sz w:val="24"/>
          <w:szCs w:val="24"/>
        </w:rPr>
        <w:t xml:space="preserve">. </w:t>
      </w:r>
      <w:r w:rsidR="0051747E">
        <w:rPr>
          <w:rFonts w:ascii="Arial" w:hAnsi="Arial" w:cs="Arial"/>
          <w:sz w:val="24"/>
          <w:szCs w:val="24"/>
        </w:rPr>
        <w:t>The aim is</w:t>
      </w:r>
      <w:r>
        <w:rPr>
          <w:rFonts w:ascii="Arial" w:hAnsi="Arial" w:cs="Arial"/>
          <w:sz w:val="24"/>
          <w:szCs w:val="24"/>
        </w:rPr>
        <w:t xml:space="preserve"> to achieve the flexibility to respond to consumer demand, while ensuring that working conditions attract, retain and reward </w:t>
      </w:r>
      <w:r w:rsidR="004D65A8">
        <w:rPr>
          <w:rFonts w:ascii="Arial" w:hAnsi="Arial" w:cs="Arial"/>
          <w:sz w:val="24"/>
          <w:szCs w:val="24"/>
        </w:rPr>
        <w:t>high-</w:t>
      </w:r>
      <w:r>
        <w:rPr>
          <w:rFonts w:ascii="Arial" w:hAnsi="Arial" w:cs="Arial"/>
          <w:sz w:val="24"/>
          <w:szCs w:val="24"/>
        </w:rPr>
        <w:t>quality staff.</w:t>
      </w:r>
    </w:p>
    <w:p w14:paraId="2CF45768" w14:textId="77777777" w:rsidR="00F66164" w:rsidRDefault="004E764F" w:rsidP="004E7B04">
      <w:pPr>
        <w:rPr>
          <w:rFonts w:ascii="Arial" w:hAnsi="Arial" w:cs="Arial"/>
          <w:sz w:val="24"/>
          <w:szCs w:val="24"/>
        </w:rPr>
      </w:pPr>
      <w:bookmarkStart w:id="150" w:name="_Toc403038204"/>
      <w:bookmarkStart w:id="151" w:name="_Toc403051744"/>
      <w:r w:rsidRPr="00133CFB">
        <w:rPr>
          <w:rFonts w:ascii="Arial" w:hAnsi="Arial" w:cs="Arial"/>
          <w:sz w:val="24"/>
          <w:szCs w:val="24"/>
        </w:rPr>
        <w:t xml:space="preserve">As the NDIS is implemented, </w:t>
      </w:r>
      <w:r w:rsidR="002D6110">
        <w:rPr>
          <w:rFonts w:ascii="Arial" w:hAnsi="Arial" w:cs="Arial"/>
          <w:sz w:val="24"/>
          <w:szCs w:val="24"/>
        </w:rPr>
        <w:t>some</w:t>
      </w:r>
      <w:r w:rsidRPr="00133CFB">
        <w:rPr>
          <w:rFonts w:ascii="Arial" w:hAnsi="Arial" w:cs="Arial"/>
          <w:sz w:val="24"/>
          <w:szCs w:val="24"/>
        </w:rPr>
        <w:t xml:space="preserve"> governments will transfer some or all of their disability services to the non-government sector. This is a welcome expression of</w:t>
      </w:r>
      <w:r w:rsidR="00D154A8">
        <w:rPr>
          <w:rFonts w:ascii="Arial" w:hAnsi="Arial" w:cs="Arial"/>
          <w:sz w:val="24"/>
          <w:szCs w:val="24"/>
        </w:rPr>
        <w:t xml:space="preserve"> confidence in the capability of</w:t>
      </w:r>
      <w:r w:rsidRPr="00133CFB">
        <w:rPr>
          <w:rFonts w:ascii="Arial" w:hAnsi="Arial" w:cs="Arial"/>
          <w:sz w:val="24"/>
          <w:szCs w:val="24"/>
        </w:rPr>
        <w:t xml:space="preserve"> the non-government s</w:t>
      </w:r>
      <w:r w:rsidR="00F66164">
        <w:rPr>
          <w:rFonts w:ascii="Arial" w:hAnsi="Arial" w:cs="Arial"/>
          <w:sz w:val="24"/>
          <w:szCs w:val="24"/>
        </w:rPr>
        <w:t xml:space="preserve">ector. However, an amendment made </w:t>
      </w:r>
      <w:r w:rsidR="002B6556">
        <w:rPr>
          <w:rFonts w:ascii="Arial" w:hAnsi="Arial" w:cs="Arial"/>
          <w:sz w:val="24"/>
          <w:szCs w:val="24"/>
        </w:rPr>
        <w:t xml:space="preserve">to </w:t>
      </w:r>
      <w:r w:rsidRPr="00133CFB">
        <w:rPr>
          <w:rFonts w:ascii="Arial" w:hAnsi="Arial" w:cs="Arial"/>
          <w:sz w:val="24"/>
          <w:szCs w:val="24"/>
        </w:rPr>
        <w:t xml:space="preserve">the Fair Work Act </w:t>
      </w:r>
      <w:r w:rsidR="004D65A8">
        <w:rPr>
          <w:rFonts w:ascii="Arial" w:hAnsi="Arial" w:cs="Arial"/>
          <w:sz w:val="24"/>
          <w:szCs w:val="24"/>
        </w:rPr>
        <w:t xml:space="preserve">2009 (Cth), </w:t>
      </w:r>
      <w:r w:rsidRPr="00133CFB">
        <w:rPr>
          <w:rFonts w:ascii="Arial" w:hAnsi="Arial" w:cs="Arial"/>
          <w:sz w:val="24"/>
          <w:szCs w:val="24"/>
        </w:rPr>
        <w:t>the Fair Work Amendmen</w:t>
      </w:r>
      <w:r w:rsidR="004D65A8">
        <w:rPr>
          <w:rFonts w:ascii="Arial" w:hAnsi="Arial" w:cs="Arial"/>
          <w:sz w:val="24"/>
          <w:szCs w:val="24"/>
        </w:rPr>
        <w:t>t Transfer of Business Act 2012,</w:t>
      </w:r>
      <w:r w:rsidRPr="00133CFB">
        <w:rPr>
          <w:rFonts w:ascii="Arial" w:hAnsi="Arial" w:cs="Arial"/>
          <w:sz w:val="24"/>
          <w:szCs w:val="24"/>
        </w:rPr>
        <w:t xml:space="preserve"> is a potential barrier.</w:t>
      </w:r>
      <w:r w:rsidR="00D154A8">
        <w:rPr>
          <w:rFonts w:ascii="Arial" w:hAnsi="Arial" w:cs="Arial"/>
          <w:sz w:val="24"/>
          <w:szCs w:val="24"/>
        </w:rPr>
        <w:t xml:space="preserve"> </w:t>
      </w:r>
      <w:r w:rsidRPr="00133CFB">
        <w:rPr>
          <w:rFonts w:ascii="Arial" w:hAnsi="Arial" w:cs="Arial"/>
          <w:sz w:val="24"/>
          <w:szCs w:val="24"/>
        </w:rPr>
        <w:t>It requires that public</w:t>
      </w:r>
      <w:r w:rsidR="002D6110">
        <w:rPr>
          <w:rFonts w:ascii="Arial" w:hAnsi="Arial" w:cs="Arial"/>
          <w:sz w:val="24"/>
          <w:szCs w:val="24"/>
        </w:rPr>
        <w:t xml:space="preserve"> </w:t>
      </w:r>
      <w:r w:rsidRPr="00133CFB">
        <w:rPr>
          <w:rFonts w:ascii="Arial" w:hAnsi="Arial" w:cs="Arial"/>
          <w:sz w:val="24"/>
          <w:szCs w:val="24"/>
        </w:rPr>
        <w:t>sector employees retain their terms and conditions f</w:t>
      </w:r>
      <w:r w:rsidR="00031F51">
        <w:rPr>
          <w:rFonts w:ascii="Arial" w:hAnsi="Arial" w:cs="Arial"/>
          <w:sz w:val="24"/>
          <w:szCs w:val="24"/>
        </w:rPr>
        <w:t xml:space="preserve">or five years if employed by a non-government organisation </w:t>
      </w:r>
      <w:r w:rsidRPr="00133CFB">
        <w:rPr>
          <w:rFonts w:ascii="Arial" w:hAnsi="Arial" w:cs="Arial"/>
          <w:sz w:val="24"/>
          <w:szCs w:val="24"/>
        </w:rPr>
        <w:t xml:space="preserve">within three months of the transfer of business. </w:t>
      </w:r>
      <w:r w:rsidR="007619E4">
        <w:rPr>
          <w:rFonts w:ascii="Arial" w:hAnsi="Arial" w:cs="Arial"/>
          <w:sz w:val="24"/>
          <w:szCs w:val="24"/>
        </w:rPr>
        <w:t>As</w:t>
      </w:r>
      <w:r w:rsidRPr="00133CFB">
        <w:rPr>
          <w:rFonts w:ascii="Arial" w:hAnsi="Arial" w:cs="Arial"/>
          <w:sz w:val="24"/>
          <w:szCs w:val="24"/>
        </w:rPr>
        <w:t xml:space="preserve"> wages and conditions are typically more generous in the public sector, this presents potential financial and HR risks</w:t>
      </w:r>
      <w:r w:rsidR="002D6110">
        <w:rPr>
          <w:rFonts w:ascii="Arial" w:hAnsi="Arial" w:cs="Arial"/>
          <w:sz w:val="24"/>
          <w:szCs w:val="24"/>
        </w:rPr>
        <w:t xml:space="preserve"> for non-government organisations</w:t>
      </w:r>
      <w:r w:rsidRPr="00133CFB">
        <w:rPr>
          <w:rFonts w:ascii="Arial" w:hAnsi="Arial" w:cs="Arial"/>
          <w:sz w:val="24"/>
          <w:szCs w:val="24"/>
        </w:rPr>
        <w:t xml:space="preserve">. </w:t>
      </w:r>
    </w:p>
    <w:p w14:paraId="34C9F5A4" w14:textId="77777777" w:rsidR="004E764F" w:rsidRDefault="00BC3296" w:rsidP="004E7B04">
      <w:pPr>
        <w:rPr>
          <w:rFonts w:ascii="Arial" w:hAnsi="Arial" w:cs="Arial"/>
          <w:sz w:val="24"/>
          <w:szCs w:val="24"/>
        </w:rPr>
      </w:pPr>
      <w:r>
        <w:rPr>
          <w:rFonts w:ascii="Arial" w:hAnsi="Arial" w:cs="Arial"/>
          <w:sz w:val="24"/>
          <w:szCs w:val="24"/>
        </w:rPr>
        <w:t>Organisations</w:t>
      </w:r>
      <w:r w:rsidR="004E764F" w:rsidRPr="00133CFB">
        <w:rPr>
          <w:rFonts w:ascii="Arial" w:hAnsi="Arial" w:cs="Arial"/>
          <w:sz w:val="24"/>
          <w:szCs w:val="24"/>
        </w:rPr>
        <w:t xml:space="preserve"> should seek industrial</w:t>
      </w:r>
      <w:r w:rsidR="007619E4">
        <w:rPr>
          <w:rFonts w:ascii="Arial" w:hAnsi="Arial" w:cs="Arial"/>
          <w:sz w:val="24"/>
          <w:szCs w:val="24"/>
        </w:rPr>
        <w:t>–</w:t>
      </w:r>
      <w:r w:rsidR="004E764F" w:rsidRPr="00133CFB">
        <w:rPr>
          <w:rFonts w:ascii="Arial" w:hAnsi="Arial" w:cs="Arial"/>
          <w:sz w:val="24"/>
          <w:szCs w:val="24"/>
        </w:rPr>
        <w:t>legal advice on the circumstances under which the Transfer of Business provision applies. NDS has raised th</w:t>
      </w:r>
      <w:r w:rsidR="007619E4">
        <w:rPr>
          <w:rFonts w:ascii="Arial" w:hAnsi="Arial" w:cs="Arial"/>
          <w:sz w:val="24"/>
          <w:szCs w:val="24"/>
        </w:rPr>
        <w:t>is</w:t>
      </w:r>
      <w:r w:rsidR="004E764F" w:rsidRPr="00133CFB">
        <w:rPr>
          <w:rFonts w:ascii="Arial" w:hAnsi="Arial" w:cs="Arial"/>
          <w:sz w:val="24"/>
          <w:szCs w:val="24"/>
        </w:rPr>
        <w:t xml:space="preserve"> </w:t>
      </w:r>
      <w:r w:rsidR="00675FF9">
        <w:rPr>
          <w:rFonts w:ascii="Arial" w:hAnsi="Arial" w:cs="Arial"/>
          <w:sz w:val="24"/>
          <w:szCs w:val="24"/>
        </w:rPr>
        <w:t xml:space="preserve">issue </w:t>
      </w:r>
      <w:r w:rsidR="004E764F" w:rsidRPr="00133CFB">
        <w:rPr>
          <w:rFonts w:ascii="Arial" w:hAnsi="Arial" w:cs="Arial"/>
          <w:sz w:val="24"/>
          <w:szCs w:val="24"/>
        </w:rPr>
        <w:t xml:space="preserve">with the </w:t>
      </w:r>
      <w:r w:rsidR="00031F51">
        <w:rPr>
          <w:rFonts w:ascii="Arial" w:hAnsi="Arial" w:cs="Arial"/>
          <w:sz w:val="24"/>
          <w:szCs w:val="24"/>
        </w:rPr>
        <w:t>Australian</w:t>
      </w:r>
      <w:r w:rsidR="004E764F" w:rsidRPr="00133CFB">
        <w:rPr>
          <w:rFonts w:ascii="Arial" w:hAnsi="Arial" w:cs="Arial"/>
          <w:sz w:val="24"/>
          <w:szCs w:val="24"/>
        </w:rPr>
        <w:t xml:space="preserve"> Government</w:t>
      </w:r>
      <w:r w:rsidR="00031F51">
        <w:rPr>
          <w:rFonts w:ascii="Arial" w:hAnsi="Arial" w:cs="Arial"/>
          <w:sz w:val="24"/>
          <w:szCs w:val="24"/>
        </w:rPr>
        <w:t>,</w:t>
      </w:r>
      <w:r w:rsidR="004E764F" w:rsidRPr="00133CFB">
        <w:rPr>
          <w:rFonts w:ascii="Arial" w:hAnsi="Arial" w:cs="Arial"/>
          <w:sz w:val="24"/>
          <w:szCs w:val="24"/>
        </w:rPr>
        <w:t xml:space="preserve"> which agreed to consider it during the post-implementation review of the 2012 legislation.</w:t>
      </w:r>
    </w:p>
    <w:p w14:paraId="42E16BA5" w14:textId="77777777" w:rsidR="00A251F6" w:rsidRDefault="00A251F6">
      <w:pPr>
        <w:rPr>
          <w:rFonts w:ascii="Arial" w:eastAsiaTheme="majorEastAsia" w:hAnsi="Arial" w:cstheme="majorBidi"/>
          <w:b/>
          <w:bCs/>
          <w:sz w:val="26"/>
          <w:szCs w:val="26"/>
        </w:rPr>
      </w:pPr>
      <w:r>
        <w:br w:type="page"/>
      </w:r>
    </w:p>
    <w:p w14:paraId="5CEB7554" w14:textId="77777777" w:rsidR="00D17A38" w:rsidRDefault="00A251F6" w:rsidP="001F094B">
      <w:pPr>
        <w:pStyle w:val="Heading2"/>
      </w:pPr>
      <w:r>
        <w:lastRenderedPageBreak/>
        <w:t>Economic benefits</w:t>
      </w:r>
    </w:p>
    <w:p w14:paraId="5000EFEE" w14:textId="77777777" w:rsidR="00BE4BD9" w:rsidRDefault="00D17A38" w:rsidP="004D65A8">
      <w:pPr>
        <w:spacing w:before="100" w:beforeAutospacing="1" w:after="0"/>
        <w:rPr>
          <w:rFonts w:ascii="Arial" w:eastAsia="Calibri" w:hAnsi="Arial" w:cs="Arial"/>
          <w:sz w:val="24"/>
          <w:szCs w:val="24"/>
          <w:lang w:eastAsia="en-AU"/>
        </w:rPr>
      </w:pPr>
      <w:r w:rsidRPr="0008014B">
        <w:rPr>
          <w:rFonts w:ascii="Arial" w:eastAsia="Calibri" w:hAnsi="Arial" w:cs="Arial"/>
          <w:sz w:val="24"/>
          <w:szCs w:val="24"/>
          <w:lang w:eastAsia="en-AU"/>
        </w:rPr>
        <w:t>In 2011</w:t>
      </w:r>
      <w:r w:rsidR="00675FF9">
        <w:rPr>
          <w:rFonts w:ascii="Arial" w:eastAsia="Calibri" w:hAnsi="Arial" w:cs="Arial"/>
          <w:sz w:val="24"/>
          <w:szCs w:val="24"/>
          <w:lang w:eastAsia="en-AU"/>
        </w:rPr>
        <w:t>,</w:t>
      </w:r>
      <w:r w:rsidRPr="0008014B">
        <w:rPr>
          <w:rFonts w:ascii="Arial" w:eastAsia="Calibri" w:hAnsi="Arial" w:cs="Arial"/>
          <w:sz w:val="24"/>
          <w:szCs w:val="24"/>
          <w:lang w:eastAsia="en-AU"/>
        </w:rPr>
        <w:t xml:space="preserve"> NDS </w:t>
      </w:r>
      <w:r w:rsidR="000F0F71">
        <w:rPr>
          <w:rFonts w:ascii="Arial" w:eastAsia="Calibri" w:hAnsi="Arial" w:cs="Arial"/>
          <w:sz w:val="24"/>
          <w:szCs w:val="24"/>
          <w:lang w:eastAsia="en-AU"/>
        </w:rPr>
        <w:t>produced</w:t>
      </w:r>
      <w:r w:rsidRPr="0008014B">
        <w:rPr>
          <w:rFonts w:ascii="Arial" w:eastAsia="Calibri" w:hAnsi="Arial" w:cs="Arial"/>
          <w:sz w:val="24"/>
          <w:szCs w:val="24"/>
          <w:lang w:eastAsia="en-AU"/>
        </w:rPr>
        <w:t xml:space="preserve"> a model of the economic benefits of the NDIS</w:t>
      </w:r>
      <w:r w:rsidR="004D65A8">
        <w:rPr>
          <w:rFonts w:ascii="Arial" w:eastAsia="Calibri" w:hAnsi="Arial" w:cs="Arial"/>
          <w:sz w:val="24"/>
          <w:szCs w:val="24"/>
          <w:lang w:eastAsia="en-AU"/>
        </w:rPr>
        <w:t>,</w:t>
      </w:r>
      <w:r w:rsidR="000C6A7B">
        <w:rPr>
          <w:rFonts w:ascii="Arial" w:eastAsia="Calibri" w:hAnsi="Arial" w:cs="Arial"/>
          <w:sz w:val="24"/>
          <w:szCs w:val="24"/>
          <w:lang w:eastAsia="en-AU"/>
        </w:rPr>
        <w:t xml:space="preserve"> u</w:t>
      </w:r>
      <w:r w:rsidRPr="0008014B">
        <w:rPr>
          <w:rFonts w:ascii="Arial" w:eastAsia="Calibri" w:hAnsi="Arial" w:cs="Arial"/>
          <w:sz w:val="24"/>
          <w:szCs w:val="24"/>
          <w:lang w:eastAsia="en-AU"/>
        </w:rPr>
        <w:t>sing the ABS survey (SDAC) available at the time</w:t>
      </w:r>
      <w:r w:rsidR="004D65A8">
        <w:rPr>
          <w:rFonts w:ascii="Arial" w:eastAsia="Calibri" w:hAnsi="Arial" w:cs="Arial"/>
          <w:sz w:val="24"/>
          <w:szCs w:val="24"/>
          <w:lang w:eastAsia="en-AU"/>
        </w:rPr>
        <w:t>.</w:t>
      </w:r>
      <w:r w:rsidRPr="0008014B">
        <w:rPr>
          <w:rFonts w:ascii="Arial" w:eastAsia="Calibri" w:hAnsi="Arial" w:cs="Arial"/>
          <w:sz w:val="24"/>
          <w:szCs w:val="24"/>
          <w:lang w:eastAsia="en-AU"/>
        </w:rPr>
        <w:t xml:space="preserve"> </w:t>
      </w:r>
      <w:r w:rsidR="008C4DD5">
        <w:rPr>
          <w:rFonts w:ascii="Arial" w:eastAsia="Calibri" w:hAnsi="Arial" w:cs="Arial"/>
          <w:sz w:val="24"/>
          <w:szCs w:val="24"/>
          <w:lang w:eastAsia="en-AU"/>
        </w:rPr>
        <w:t>It</w:t>
      </w:r>
      <w:r w:rsidRPr="0008014B">
        <w:rPr>
          <w:rFonts w:ascii="Arial" w:eastAsia="Calibri" w:hAnsi="Arial" w:cs="Arial"/>
          <w:sz w:val="24"/>
          <w:szCs w:val="24"/>
          <w:lang w:eastAsia="en-AU"/>
        </w:rPr>
        <w:t xml:space="preserve"> predicted that the NDIS would </w:t>
      </w:r>
      <w:r w:rsidR="00BE4BD9">
        <w:rPr>
          <w:rFonts w:ascii="Arial" w:eastAsia="Calibri" w:hAnsi="Arial" w:cs="Arial"/>
          <w:sz w:val="24"/>
          <w:szCs w:val="24"/>
          <w:lang w:eastAsia="en-AU"/>
        </w:rPr>
        <w:t xml:space="preserve">raise </w:t>
      </w:r>
      <w:r w:rsidR="008C4DD5">
        <w:rPr>
          <w:rFonts w:ascii="Arial" w:eastAsia="Calibri" w:hAnsi="Arial" w:cs="Arial"/>
          <w:sz w:val="24"/>
          <w:szCs w:val="24"/>
          <w:lang w:eastAsia="en-AU"/>
        </w:rPr>
        <w:t>gross domestic product (GDP)</w:t>
      </w:r>
      <w:r w:rsidR="00BE4BD9">
        <w:rPr>
          <w:rFonts w:ascii="Arial" w:eastAsia="Calibri" w:hAnsi="Arial" w:cs="Arial"/>
          <w:sz w:val="24"/>
          <w:szCs w:val="24"/>
          <w:lang w:eastAsia="en-AU"/>
        </w:rPr>
        <w:t xml:space="preserve"> by $9.6</w:t>
      </w:r>
      <w:r w:rsidR="004D65A8">
        <w:rPr>
          <w:rFonts w:ascii="Arial" w:eastAsia="Calibri" w:hAnsi="Arial" w:cs="Arial"/>
          <w:sz w:val="24"/>
          <w:szCs w:val="24"/>
          <w:lang w:eastAsia="en-AU"/>
        </w:rPr>
        <w:t> </w:t>
      </w:r>
      <w:r w:rsidR="00BE4BD9">
        <w:rPr>
          <w:rFonts w:ascii="Arial" w:eastAsia="Calibri" w:hAnsi="Arial" w:cs="Arial"/>
          <w:sz w:val="24"/>
          <w:szCs w:val="24"/>
          <w:lang w:eastAsia="en-AU"/>
        </w:rPr>
        <w:t>b</w:t>
      </w:r>
      <w:r w:rsidR="004D65A8">
        <w:rPr>
          <w:rFonts w:ascii="Arial" w:eastAsia="Calibri" w:hAnsi="Arial" w:cs="Arial"/>
          <w:sz w:val="24"/>
          <w:szCs w:val="24"/>
          <w:lang w:eastAsia="en-AU"/>
        </w:rPr>
        <w:t>illio</w:t>
      </w:r>
      <w:r w:rsidR="00BE4BD9">
        <w:rPr>
          <w:rFonts w:ascii="Arial" w:eastAsia="Calibri" w:hAnsi="Arial" w:cs="Arial"/>
          <w:sz w:val="24"/>
          <w:szCs w:val="24"/>
          <w:lang w:eastAsia="en-AU"/>
        </w:rPr>
        <w:t>n per year. </w:t>
      </w:r>
    </w:p>
    <w:p w14:paraId="4F016430" w14:textId="77777777" w:rsidR="00BE4BD9" w:rsidRDefault="004D65A8" w:rsidP="004D65A8">
      <w:pPr>
        <w:spacing w:before="100" w:beforeAutospacing="1" w:after="0"/>
        <w:rPr>
          <w:rFonts w:ascii="Arial" w:eastAsia="Calibri" w:hAnsi="Arial" w:cs="Arial"/>
          <w:sz w:val="24"/>
          <w:szCs w:val="24"/>
          <w:lang w:eastAsia="en-AU"/>
        </w:rPr>
      </w:pPr>
      <w:r>
        <w:rPr>
          <w:rFonts w:ascii="Arial" w:eastAsia="Calibri" w:hAnsi="Arial" w:cs="Arial"/>
          <w:sz w:val="24"/>
          <w:szCs w:val="24"/>
          <w:lang w:eastAsia="en-AU"/>
        </w:rPr>
        <w:t>In 2014, NDS</w:t>
      </w:r>
      <w:r w:rsidR="00D17A38" w:rsidRPr="0008014B">
        <w:rPr>
          <w:rFonts w:ascii="Arial" w:eastAsia="Calibri" w:hAnsi="Arial" w:cs="Arial"/>
          <w:sz w:val="24"/>
          <w:szCs w:val="24"/>
          <w:lang w:eastAsia="en-AU"/>
        </w:rPr>
        <w:t xml:space="preserve"> commissioned Agape Economics to prepare an updated estimate of the economy-wide effects of NDIS implementation. </w:t>
      </w:r>
      <w:r w:rsidR="008C4DD5">
        <w:rPr>
          <w:rFonts w:ascii="Arial" w:eastAsia="Calibri" w:hAnsi="Arial" w:cs="Arial"/>
          <w:sz w:val="24"/>
          <w:szCs w:val="24"/>
          <w:lang w:eastAsia="en-AU"/>
        </w:rPr>
        <w:t>This</w:t>
      </w:r>
      <w:r w:rsidR="00D17A38">
        <w:rPr>
          <w:rFonts w:ascii="Arial" w:eastAsia="Calibri" w:hAnsi="Arial" w:cs="Arial"/>
          <w:sz w:val="24"/>
          <w:szCs w:val="24"/>
          <w:lang w:eastAsia="en-AU"/>
        </w:rPr>
        <w:t xml:space="preserve"> found that the NDIS should </w:t>
      </w:r>
      <w:r w:rsidR="00770B86">
        <w:rPr>
          <w:rFonts w:ascii="Arial" w:eastAsia="Calibri" w:hAnsi="Arial" w:cs="Arial"/>
          <w:sz w:val="24"/>
          <w:szCs w:val="24"/>
          <w:lang w:eastAsia="en-AU"/>
        </w:rPr>
        <w:t>give</w:t>
      </w:r>
      <w:r w:rsidR="00D17A38">
        <w:rPr>
          <w:rFonts w:ascii="Arial" w:eastAsia="Calibri" w:hAnsi="Arial" w:cs="Arial"/>
          <w:sz w:val="24"/>
          <w:szCs w:val="24"/>
          <w:lang w:eastAsia="en-AU"/>
        </w:rPr>
        <w:t xml:space="preserve"> </w:t>
      </w:r>
      <w:r w:rsidR="00D17A38" w:rsidRPr="00770B86">
        <w:rPr>
          <w:rFonts w:ascii="Arial" w:eastAsia="Calibri" w:hAnsi="Arial" w:cs="Arial"/>
          <w:sz w:val="24"/>
          <w:szCs w:val="24"/>
          <w:lang w:eastAsia="en-AU"/>
        </w:rPr>
        <w:t>24,000-38</w:t>
      </w:r>
      <w:r w:rsidR="00FD191C" w:rsidRPr="00770B86">
        <w:rPr>
          <w:rFonts w:ascii="Arial" w:eastAsia="Calibri" w:hAnsi="Arial" w:cs="Arial"/>
          <w:sz w:val="24"/>
          <w:szCs w:val="24"/>
          <w:lang w:eastAsia="en-AU"/>
        </w:rPr>
        <w:t>,000</w:t>
      </w:r>
      <w:r w:rsidR="00D17A38" w:rsidRPr="00770B86">
        <w:rPr>
          <w:rFonts w:ascii="Arial" w:eastAsia="Calibri" w:hAnsi="Arial" w:cs="Arial"/>
          <w:sz w:val="24"/>
          <w:szCs w:val="24"/>
          <w:lang w:eastAsia="en-AU"/>
        </w:rPr>
        <w:t xml:space="preserve"> people with significant disability access </w:t>
      </w:r>
      <w:r w:rsidR="00770B86">
        <w:rPr>
          <w:rFonts w:ascii="Arial" w:eastAsia="Calibri" w:hAnsi="Arial" w:cs="Arial"/>
          <w:sz w:val="24"/>
          <w:szCs w:val="24"/>
          <w:lang w:eastAsia="en-AU"/>
        </w:rPr>
        <w:t xml:space="preserve">to </w:t>
      </w:r>
      <w:r w:rsidR="00D17A38" w:rsidRPr="00770B86">
        <w:rPr>
          <w:rFonts w:ascii="Arial" w:eastAsia="Calibri" w:hAnsi="Arial" w:cs="Arial"/>
          <w:sz w:val="24"/>
          <w:szCs w:val="24"/>
          <w:lang w:eastAsia="en-AU"/>
        </w:rPr>
        <w:t>employment.</w:t>
      </w:r>
      <w:r w:rsidR="00D17A38">
        <w:rPr>
          <w:rFonts w:ascii="Arial" w:eastAsia="Calibri" w:hAnsi="Arial" w:cs="Arial"/>
          <w:sz w:val="24"/>
          <w:szCs w:val="24"/>
          <w:lang w:eastAsia="en-AU"/>
        </w:rPr>
        <w:t xml:space="preserve"> </w:t>
      </w:r>
      <w:r w:rsidR="002B6556">
        <w:rPr>
          <w:rFonts w:ascii="Arial" w:eastAsia="Calibri" w:hAnsi="Arial" w:cs="Arial"/>
          <w:sz w:val="24"/>
          <w:szCs w:val="24"/>
          <w:lang w:eastAsia="en-AU"/>
        </w:rPr>
        <w:t>NDS</w:t>
      </w:r>
      <w:r w:rsidR="00D17A38">
        <w:rPr>
          <w:rFonts w:ascii="Arial" w:eastAsia="Calibri" w:hAnsi="Arial" w:cs="Arial"/>
          <w:sz w:val="24"/>
          <w:szCs w:val="24"/>
          <w:lang w:eastAsia="en-AU"/>
        </w:rPr>
        <w:t xml:space="preserve"> expect</w:t>
      </w:r>
      <w:r w:rsidR="002B6556">
        <w:rPr>
          <w:rFonts w:ascii="Arial" w:eastAsia="Calibri" w:hAnsi="Arial" w:cs="Arial"/>
          <w:sz w:val="24"/>
          <w:szCs w:val="24"/>
          <w:lang w:eastAsia="en-AU"/>
        </w:rPr>
        <w:t>s</w:t>
      </w:r>
      <w:r w:rsidR="00D17A38">
        <w:rPr>
          <w:rFonts w:ascii="Arial" w:eastAsia="Calibri" w:hAnsi="Arial" w:cs="Arial"/>
          <w:sz w:val="24"/>
          <w:szCs w:val="24"/>
          <w:lang w:eastAsia="en-AU"/>
        </w:rPr>
        <w:t xml:space="preserve"> </w:t>
      </w:r>
      <w:r w:rsidR="00D17A38" w:rsidRPr="0008014B">
        <w:rPr>
          <w:rFonts w:ascii="Arial" w:eastAsia="Calibri" w:hAnsi="Arial" w:cs="Arial"/>
          <w:sz w:val="24"/>
          <w:szCs w:val="24"/>
          <w:lang w:eastAsia="en-AU"/>
        </w:rPr>
        <w:t xml:space="preserve">a similar increase in labour force participation of carers. </w:t>
      </w:r>
    </w:p>
    <w:p w14:paraId="036D6068" w14:textId="77777777" w:rsidR="00D17A38" w:rsidRPr="000541C9" w:rsidRDefault="00D17A38" w:rsidP="007D661E">
      <w:pPr>
        <w:spacing w:before="100" w:beforeAutospacing="1" w:after="0"/>
        <w:rPr>
          <w:rFonts w:ascii="Arial" w:hAnsi="Arial" w:cs="Arial"/>
          <w:b/>
          <w:sz w:val="24"/>
        </w:rPr>
      </w:pPr>
      <w:r w:rsidRPr="0008014B">
        <w:rPr>
          <w:rFonts w:ascii="Arial" w:eastAsia="Calibri" w:hAnsi="Arial" w:cs="Arial"/>
          <w:sz w:val="24"/>
          <w:szCs w:val="24"/>
          <w:lang w:eastAsia="en-AU"/>
        </w:rPr>
        <w:t>Using REMPLAM, an input/output econometric tool, we estimate disability employment gains will increase GDP by between $7 billion and $11</w:t>
      </w:r>
      <w:r w:rsidR="004D65A8">
        <w:rPr>
          <w:rFonts w:ascii="Arial" w:eastAsia="Calibri" w:hAnsi="Arial" w:cs="Arial"/>
          <w:sz w:val="24"/>
          <w:szCs w:val="24"/>
          <w:lang w:eastAsia="en-AU"/>
        </w:rPr>
        <w:t> </w:t>
      </w:r>
      <w:r w:rsidRPr="0008014B">
        <w:rPr>
          <w:rFonts w:ascii="Arial" w:eastAsia="Calibri" w:hAnsi="Arial" w:cs="Arial"/>
          <w:sz w:val="24"/>
          <w:szCs w:val="24"/>
          <w:lang w:eastAsia="en-AU"/>
        </w:rPr>
        <w:t>b</w:t>
      </w:r>
      <w:r w:rsidR="004D65A8">
        <w:rPr>
          <w:rFonts w:ascii="Arial" w:eastAsia="Calibri" w:hAnsi="Arial" w:cs="Arial"/>
          <w:sz w:val="24"/>
          <w:szCs w:val="24"/>
          <w:lang w:eastAsia="en-AU"/>
        </w:rPr>
        <w:t>illio</w:t>
      </w:r>
      <w:r w:rsidRPr="0008014B">
        <w:rPr>
          <w:rFonts w:ascii="Arial" w:eastAsia="Calibri" w:hAnsi="Arial" w:cs="Arial"/>
          <w:sz w:val="24"/>
          <w:szCs w:val="24"/>
          <w:lang w:eastAsia="en-AU"/>
        </w:rPr>
        <w:t xml:space="preserve">n </w:t>
      </w:r>
      <w:r w:rsidR="00675FF9">
        <w:rPr>
          <w:rFonts w:ascii="Arial" w:eastAsia="Calibri" w:hAnsi="Arial" w:cs="Arial"/>
          <w:sz w:val="24"/>
          <w:szCs w:val="24"/>
          <w:lang w:eastAsia="en-AU"/>
        </w:rPr>
        <w:t>(</w:t>
      </w:r>
      <w:r w:rsidRPr="0008014B">
        <w:rPr>
          <w:rFonts w:ascii="Arial" w:eastAsia="Calibri" w:hAnsi="Arial" w:cs="Arial"/>
          <w:sz w:val="24"/>
          <w:szCs w:val="24"/>
          <w:lang w:eastAsia="en-AU"/>
        </w:rPr>
        <w:t>in current dollars</w:t>
      </w:r>
      <w:r w:rsidR="00675FF9">
        <w:rPr>
          <w:rFonts w:ascii="Arial" w:eastAsia="Calibri" w:hAnsi="Arial" w:cs="Arial"/>
          <w:sz w:val="24"/>
          <w:szCs w:val="24"/>
          <w:lang w:eastAsia="en-AU"/>
        </w:rPr>
        <w:t>)</w:t>
      </w:r>
      <w:r w:rsidRPr="0008014B">
        <w:rPr>
          <w:rFonts w:ascii="Arial" w:eastAsia="Calibri" w:hAnsi="Arial" w:cs="Arial"/>
          <w:sz w:val="24"/>
          <w:szCs w:val="24"/>
          <w:lang w:eastAsia="en-AU"/>
        </w:rPr>
        <w:t xml:space="preserve"> when the scheme is fully implemented.</w:t>
      </w:r>
      <w:r w:rsidR="004D65A8">
        <w:rPr>
          <w:rFonts w:ascii="Arial" w:eastAsia="Calibri" w:hAnsi="Arial" w:cs="Arial"/>
          <w:sz w:val="24"/>
          <w:szCs w:val="24"/>
          <w:lang w:eastAsia="en-AU"/>
        </w:rPr>
        <w:t xml:space="preserve"> </w:t>
      </w:r>
      <w:r w:rsidR="00770B86" w:rsidRPr="00770B86">
        <w:rPr>
          <w:rFonts w:ascii="Arial" w:eastAsia="Calibri" w:hAnsi="Arial" w:cs="Arial"/>
          <w:sz w:val="24"/>
          <w:szCs w:val="24"/>
          <w:lang w:eastAsia="en-AU"/>
        </w:rPr>
        <w:t>Carer employment</w:t>
      </w:r>
      <w:r w:rsidRPr="00770B86">
        <w:rPr>
          <w:rFonts w:ascii="Arial" w:eastAsia="Calibri" w:hAnsi="Arial" w:cs="Arial"/>
          <w:sz w:val="24"/>
          <w:szCs w:val="24"/>
          <w:lang w:eastAsia="en-AU"/>
        </w:rPr>
        <w:t xml:space="preserve"> will expand GDP by </w:t>
      </w:r>
      <w:r w:rsidR="00770B86" w:rsidRPr="00770B86">
        <w:rPr>
          <w:rFonts w:ascii="Arial" w:eastAsia="Calibri" w:hAnsi="Arial" w:cs="Arial"/>
          <w:sz w:val="24"/>
          <w:szCs w:val="24"/>
          <w:lang w:eastAsia="en-AU"/>
        </w:rPr>
        <w:t xml:space="preserve">a further </w:t>
      </w:r>
      <w:r w:rsidRPr="00770B86">
        <w:rPr>
          <w:rFonts w:ascii="Arial" w:eastAsia="Calibri" w:hAnsi="Arial" w:cs="Arial"/>
          <w:sz w:val="24"/>
          <w:szCs w:val="24"/>
          <w:lang w:eastAsia="en-AU"/>
        </w:rPr>
        <w:t>$11</w:t>
      </w:r>
      <w:r w:rsidR="004D65A8" w:rsidRPr="00770B86">
        <w:rPr>
          <w:rFonts w:ascii="Arial" w:eastAsia="Calibri" w:hAnsi="Arial" w:cs="Arial"/>
          <w:sz w:val="24"/>
          <w:szCs w:val="24"/>
          <w:lang w:eastAsia="en-AU"/>
        </w:rPr>
        <w:t> </w:t>
      </w:r>
      <w:r w:rsidRPr="00770B86">
        <w:rPr>
          <w:rFonts w:ascii="Arial" w:eastAsia="Calibri" w:hAnsi="Arial" w:cs="Arial"/>
          <w:sz w:val="24"/>
          <w:szCs w:val="24"/>
          <w:lang w:eastAsia="en-AU"/>
        </w:rPr>
        <w:t>b</w:t>
      </w:r>
      <w:r w:rsidR="004D65A8" w:rsidRPr="00770B86">
        <w:rPr>
          <w:rFonts w:ascii="Arial" w:eastAsia="Calibri" w:hAnsi="Arial" w:cs="Arial"/>
          <w:sz w:val="24"/>
          <w:szCs w:val="24"/>
          <w:lang w:eastAsia="en-AU"/>
        </w:rPr>
        <w:t>illio</w:t>
      </w:r>
      <w:r w:rsidRPr="00770B86">
        <w:rPr>
          <w:rFonts w:ascii="Arial" w:eastAsia="Calibri" w:hAnsi="Arial" w:cs="Arial"/>
          <w:sz w:val="24"/>
          <w:szCs w:val="24"/>
          <w:lang w:eastAsia="en-AU"/>
        </w:rPr>
        <w:t>n.</w:t>
      </w:r>
      <w:r w:rsidR="004D65A8">
        <w:rPr>
          <w:rFonts w:ascii="Arial" w:eastAsia="Calibri" w:hAnsi="Arial" w:cs="Arial"/>
          <w:sz w:val="24"/>
          <w:szCs w:val="24"/>
          <w:lang w:eastAsia="en-AU"/>
        </w:rPr>
        <w:t xml:space="preserve"> T</w:t>
      </w:r>
      <w:r w:rsidRPr="0008014B">
        <w:rPr>
          <w:rFonts w:ascii="Arial" w:eastAsia="Calibri" w:hAnsi="Arial" w:cs="Arial"/>
          <w:sz w:val="24"/>
          <w:szCs w:val="24"/>
          <w:lang w:eastAsia="en-AU"/>
        </w:rPr>
        <w:t xml:space="preserve">axation revenue </w:t>
      </w:r>
      <w:r w:rsidR="004D65A8">
        <w:rPr>
          <w:rFonts w:ascii="Arial" w:eastAsia="Calibri" w:hAnsi="Arial" w:cs="Arial"/>
          <w:sz w:val="24"/>
          <w:szCs w:val="24"/>
          <w:lang w:eastAsia="en-AU"/>
        </w:rPr>
        <w:t>will also increase, as will</w:t>
      </w:r>
      <w:r w:rsidRPr="0008014B">
        <w:rPr>
          <w:rFonts w:ascii="Arial" w:eastAsia="Calibri" w:hAnsi="Arial" w:cs="Arial"/>
          <w:sz w:val="24"/>
          <w:szCs w:val="24"/>
          <w:lang w:eastAsia="en-AU"/>
        </w:rPr>
        <w:t xml:space="preserve"> savings to government in income support</w:t>
      </w:r>
      <w:r w:rsidR="004D65A8">
        <w:rPr>
          <w:rFonts w:ascii="Arial" w:eastAsia="Calibri" w:hAnsi="Arial" w:cs="Arial"/>
          <w:sz w:val="24"/>
          <w:szCs w:val="24"/>
          <w:lang w:eastAsia="en-AU"/>
        </w:rPr>
        <w:t>,</w:t>
      </w:r>
      <w:r w:rsidRPr="0008014B">
        <w:rPr>
          <w:rFonts w:ascii="Arial" w:eastAsia="Calibri" w:hAnsi="Arial" w:cs="Arial"/>
          <w:sz w:val="24"/>
          <w:szCs w:val="24"/>
          <w:lang w:eastAsia="en-AU"/>
        </w:rPr>
        <w:t xml:space="preserve"> offsetting the costs of the scheme.</w:t>
      </w:r>
      <w:r w:rsidRPr="000541C9">
        <w:rPr>
          <w:rFonts w:ascii="Arial" w:hAnsi="Arial" w:cs="Arial"/>
          <w:b/>
          <w:sz w:val="24"/>
        </w:rPr>
        <w:t xml:space="preserve"> </w:t>
      </w:r>
    </w:p>
    <w:p w14:paraId="16181687" w14:textId="77777777" w:rsidR="00D17A38" w:rsidRPr="001133F4" w:rsidRDefault="00D17A38" w:rsidP="00D17A38">
      <w:pPr>
        <w:spacing w:after="160" w:line="259" w:lineRule="auto"/>
        <w:rPr>
          <w:rFonts w:ascii="Arial" w:hAnsi="Arial" w:cs="Arial"/>
          <w:sz w:val="24"/>
        </w:rPr>
      </w:pPr>
      <w:r w:rsidRPr="001133F4">
        <w:rPr>
          <w:rFonts w:ascii="Arial" w:hAnsi="Arial" w:cs="Arial"/>
          <w:sz w:val="24"/>
        </w:rPr>
        <w:br w:type="page"/>
      </w:r>
    </w:p>
    <w:p w14:paraId="3524FAFB" w14:textId="77777777" w:rsidR="003A6A5D" w:rsidRPr="00133CFB" w:rsidRDefault="003A6A5D" w:rsidP="00143028">
      <w:pPr>
        <w:pStyle w:val="Heading1"/>
      </w:pPr>
      <w:bookmarkStart w:id="152" w:name="_Toc405797900"/>
      <w:r w:rsidRPr="00133CFB">
        <w:lastRenderedPageBreak/>
        <w:t xml:space="preserve">The policy </w:t>
      </w:r>
      <w:r w:rsidR="001235B7">
        <w:t xml:space="preserve">and economic </w:t>
      </w:r>
      <w:r w:rsidRPr="00133CFB">
        <w:t>landscape beyond the NDIS</w:t>
      </w:r>
      <w:bookmarkEnd w:id="152"/>
    </w:p>
    <w:p w14:paraId="66BD4307" w14:textId="77777777" w:rsidR="00953976" w:rsidRPr="00953976" w:rsidRDefault="00953976" w:rsidP="001F094B">
      <w:pPr>
        <w:pStyle w:val="Heading2"/>
      </w:pPr>
      <w:bookmarkStart w:id="153" w:name="_Toc404089929"/>
      <w:r w:rsidRPr="00953976">
        <w:t xml:space="preserve">What </w:t>
      </w:r>
      <w:r w:rsidR="00C94B8A">
        <w:t xml:space="preserve">we </w:t>
      </w:r>
      <w:r w:rsidRPr="00953976">
        <w:t>can expect in 2015</w:t>
      </w:r>
      <w:bookmarkEnd w:id="153"/>
    </w:p>
    <w:p w14:paraId="05C14734" w14:textId="77777777" w:rsidR="00A251F6" w:rsidRPr="00A251F6" w:rsidRDefault="00953976" w:rsidP="003F2B72">
      <w:pPr>
        <w:pStyle w:val="ListParagraph"/>
        <w:numPr>
          <w:ilvl w:val="0"/>
          <w:numId w:val="24"/>
        </w:numPr>
        <w:ind w:left="714" w:hanging="357"/>
        <w:rPr>
          <w:rFonts w:ascii="Arial" w:hAnsi="Arial" w:cs="Arial"/>
          <w:sz w:val="24"/>
          <w:szCs w:val="24"/>
        </w:rPr>
      </w:pPr>
      <w:r w:rsidRPr="00F66164">
        <w:rPr>
          <w:rFonts w:ascii="Arial" w:eastAsiaTheme="majorEastAsia" w:hAnsi="Arial" w:cs="Arial"/>
          <w:sz w:val="24"/>
          <w:szCs w:val="24"/>
        </w:rPr>
        <w:t>As the NDIS is implemented</w:t>
      </w:r>
      <w:r w:rsidRPr="00F66164">
        <w:rPr>
          <w:rFonts w:ascii="Arial" w:hAnsi="Arial" w:cs="Arial"/>
          <w:sz w:val="24"/>
          <w:szCs w:val="24"/>
        </w:rPr>
        <w:t>,</w:t>
      </w:r>
      <w:r w:rsidRPr="00F66164">
        <w:rPr>
          <w:rFonts w:ascii="Arial" w:eastAsiaTheme="majorEastAsia" w:hAnsi="Arial" w:cs="Arial"/>
          <w:sz w:val="24"/>
          <w:szCs w:val="24"/>
        </w:rPr>
        <w:t xml:space="preserve"> there are signs that some state and territory governments </w:t>
      </w:r>
      <w:r w:rsidR="00675FF9">
        <w:rPr>
          <w:rFonts w:ascii="Arial" w:eastAsiaTheme="majorEastAsia" w:hAnsi="Arial" w:cs="Arial"/>
          <w:sz w:val="24"/>
          <w:szCs w:val="24"/>
        </w:rPr>
        <w:t>will seek</w:t>
      </w:r>
      <w:r w:rsidRPr="00F66164">
        <w:rPr>
          <w:rFonts w:ascii="Arial" w:eastAsiaTheme="majorEastAsia" w:hAnsi="Arial" w:cs="Arial"/>
          <w:sz w:val="24"/>
          <w:szCs w:val="24"/>
        </w:rPr>
        <w:t xml:space="preserve"> to reduce their</w:t>
      </w:r>
      <w:r w:rsidR="00F66164" w:rsidRPr="00F66164">
        <w:rPr>
          <w:rFonts w:ascii="Arial" w:eastAsiaTheme="majorEastAsia" w:hAnsi="Arial" w:cs="Arial"/>
          <w:sz w:val="24"/>
          <w:szCs w:val="24"/>
        </w:rPr>
        <w:t xml:space="preserve"> </w:t>
      </w:r>
      <w:r w:rsidR="00675FF9">
        <w:rPr>
          <w:rFonts w:ascii="Arial" w:eastAsiaTheme="majorEastAsia" w:hAnsi="Arial" w:cs="Arial"/>
          <w:sz w:val="24"/>
          <w:szCs w:val="24"/>
        </w:rPr>
        <w:t xml:space="preserve">investment in </w:t>
      </w:r>
      <w:r w:rsidR="004D65A8">
        <w:rPr>
          <w:rFonts w:ascii="Arial" w:eastAsiaTheme="majorEastAsia" w:hAnsi="Arial" w:cs="Arial"/>
          <w:sz w:val="24"/>
          <w:szCs w:val="24"/>
        </w:rPr>
        <w:t>T</w:t>
      </w:r>
      <w:r w:rsidR="00F66164" w:rsidRPr="00F66164">
        <w:rPr>
          <w:rFonts w:ascii="Arial" w:eastAsiaTheme="majorEastAsia" w:hAnsi="Arial" w:cs="Arial"/>
          <w:sz w:val="24"/>
          <w:szCs w:val="24"/>
        </w:rPr>
        <w:t>ier 2</w:t>
      </w:r>
      <w:r w:rsidRPr="00F66164">
        <w:rPr>
          <w:rFonts w:ascii="Arial" w:eastAsiaTheme="majorEastAsia" w:hAnsi="Arial" w:cs="Arial"/>
          <w:sz w:val="24"/>
          <w:szCs w:val="24"/>
        </w:rPr>
        <w:t xml:space="preserve"> </w:t>
      </w:r>
      <w:r w:rsidR="00F66164" w:rsidRPr="00F66164">
        <w:rPr>
          <w:rFonts w:ascii="Arial" w:eastAsiaTheme="majorEastAsia" w:hAnsi="Arial" w:cs="Arial"/>
          <w:sz w:val="24"/>
          <w:szCs w:val="24"/>
        </w:rPr>
        <w:t xml:space="preserve">and mainstream </w:t>
      </w:r>
      <w:r w:rsidR="00675FF9">
        <w:rPr>
          <w:rFonts w:ascii="Arial" w:eastAsiaTheme="majorEastAsia" w:hAnsi="Arial" w:cs="Arial"/>
          <w:sz w:val="24"/>
          <w:szCs w:val="24"/>
        </w:rPr>
        <w:t>services</w:t>
      </w:r>
      <w:r w:rsidR="00F66164" w:rsidRPr="00F66164">
        <w:rPr>
          <w:rFonts w:ascii="Arial" w:eastAsiaTheme="majorEastAsia" w:hAnsi="Arial" w:cs="Arial"/>
          <w:sz w:val="24"/>
          <w:szCs w:val="24"/>
        </w:rPr>
        <w:t xml:space="preserve">. </w:t>
      </w:r>
    </w:p>
    <w:p w14:paraId="62D53954" w14:textId="77777777" w:rsidR="00A763C5" w:rsidRPr="003F2B72" w:rsidRDefault="008E0B37" w:rsidP="003F2B72">
      <w:pPr>
        <w:pStyle w:val="ListParagraph"/>
        <w:numPr>
          <w:ilvl w:val="0"/>
          <w:numId w:val="24"/>
        </w:numPr>
        <w:ind w:left="714" w:hanging="357"/>
        <w:rPr>
          <w:rFonts w:ascii="Arial" w:hAnsi="Arial" w:cs="Arial"/>
          <w:sz w:val="24"/>
          <w:szCs w:val="24"/>
        </w:rPr>
      </w:pPr>
      <w:r>
        <w:rPr>
          <w:rFonts w:ascii="Arial" w:eastAsiaTheme="majorEastAsia" w:hAnsi="Arial" w:cs="Arial"/>
          <w:sz w:val="24"/>
          <w:szCs w:val="24"/>
        </w:rPr>
        <w:t>The trend is continuing where some governments are failing</w:t>
      </w:r>
      <w:r w:rsidR="00F66164" w:rsidRPr="00F66164">
        <w:rPr>
          <w:rFonts w:ascii="Arial" w:hAnsi="Arial" w:cs="Arial"/>
          <w:sz w:val="24"/>
          <w:szCs w:val="24"/>
        </w:rPr>
        <w:t xml:space="preserve"> to meet growth funding required for specialist disability services while the NDIS is in </w:t>
      </w:r>
      <w:r w:rsidR="004D65A8">
        <w:rPr>
          <w:rFonts w:ascii="Arial" w:hAnsi="Arial" w:cs="Arial"/>
          <w:sz w:val="24"/>
          <w:szCs w:val="24"/>
        </w:rPr>
        <w:t>trial</w:t>
      </w:r>
      <w:r w:rsidR="00F66164" w:rsidRPr="00F66164">
        <w:rPr>
          <w:rFonts w:ascii="Arial" w:hAnsi="Arial" w:cs="Arial"/>
          <w:sz w:val="24"/>
          <w:szCs w:val="24"/>
        </w:rPr>
        <w:t xml:space="preserve"> phase.</w:t>
      </w:r>
    </w:p>
    <w:p w14:paraId="2905487F" w14:textId="77777777" w:rsidR="00A763C5" w:rsidRPr="000F0F71" w:rsidRDefault="002B6556" w:rsidP="008115DE">
      <w:pPr>
        <w:pStyle w:val="ListParagraph"/>
        <w:numPr>
          <w:ilvl w:val="0"/>
          <w:numId w:val="24"/>
        </w:numPr>
        <w:ind w:left="714" w:hanging="357"/>
        <w:rPr>
          <w:rFonts w:ascii="Arial" w:eastAsiaTheme="majorEastAsia" w:hAnsi="Arial" w:cs="Arial"/>
          <w:bCs/>
          <w:sz w:val="24"/>
          <w:szCs w:val="24"/>
        </w:rPr>
      </w:pPr>
      <w:r>
        <w:rPr>
          <w:rFonts w:ascii="Arial" w:eastAsiaTheme="majorEastAsia" w:hAnsi="Arial" w:cs="Arial"/>
          <w:bCs/>
          <w:sz w:val="24"/>
          <w:szCs w:val="24"/>
        </w:rPr>
        <w:t>A</w:t>
      </w:r>
      <w:r w:rsidR="00953976" w:rsidRPr="000F0F71">
        <w:rPr>
          <w:rFonts w:ascii="Arial" w:eastAsiaTheme="majorEastAsia" w:hAnsi="Arial" w:cs="Arial"/>
          <w:bCs/>
          <w:sz w:val="24"/>
          <w:szCs w:val="24"/>
        </w:rPr>
        <w:t xml:space="preserve"> decision will be made on the regulatory framework for charities (and whether it is done through the </w:t>
      </w:r>
      <w:r w:rsidR="00953976" w:rsidRPr="000F0F71">
        <w:rPr>
          <w:rFonts w:ascii="Arial" w:hAnsi="Arial" w:cs="Arial"/>
          <w:sz w:val="24"/>
          <w:szCs w:val="24"/>
        </w:rPr>
        <w:t xml:space="preserve">Australian Charities and Not-for-profits Commission </w:t>
      </w:r>
      <w:r w:rsidR="00953976" w:rsidRPr="000F0F71">
        <w:rPr>
          <w:rFonts w:ascii="Arial" w:eastAsiaTheme="majorEastAsia" w:hAnsi="Arial" w:cs="Arial"/>
          <w:bCs/>
          <w:sz w:val="24"/>
          <w:szCs w:val="24"/>
        </w:rPr>
        <w:t>or some other body).</w:t>
      </w:r>
    </w:p>
    <w:p w14:paraId="4ABB0914" w14:textId="77777777" w:rsidR="00953976" w:rsidRPr="000F0F71" w:rsidRDefault="000F0F71" w:rsidP="008115DE">
      <w:pPr>
        <w:pStyle w:val="ListParagraph"/>
        <w:numPr>
          <w:ilvl w:val="0"/>
          <w:numId w:val="24"/>
        </w:numPr>
        <w:ind w:left="714" w:hanging="357"/>
        <w:rPr>
          <w:rFonts w:ascii="Arial" w:eastAsiaTheme="majorEastAsia" w:hAnsi="Arial" w:cs="Arial"/>
          <w:bCs/>
          <w:sz w:val="24"/>
          <w:szCs w:val="24"/>
        </w:rPr>
      </w:pPr>
      <w:r>
        <w:rPr>
          <w:rFonts w:ascii="Arial" w:eastAsiaTheme="majorEastAsia" w:hAnsi="Arial" w:cs="Arial"/>
          <w:bCs/>
          <w:sz w:val="24"/>
          <w:szCs w:val="24"/>
        </w:rPr>
        <w:t>G</w:t>
      </w:r>
      <w:r w:rsidR="00953976" w:rsidRPr="000F0F71">
        <w:rPr>
          <w:rFonts w:ascii="Arial" w:eastAsiaTheme="majorEastAsia" w:hAnsi="Arial" w:cs="Arial"/>
          <w:bCs/>
          <w:sz w:val="24"/>
          <w:szCs w:val="24"/>
        </w:rPr>
        <w:t xml:space="preserve">overnment will </w:t>
      </w:r>
      <w:r w:rsidR="004D057B">
        <w:rPr>
          <w:rFonts w:ascii="Arial" w:eastAsiaTheme="majorEastAsia" w:hAnsi="Arial" w:cs="Arial"/>
          <w:bCs/>
          <w:sz w:val="24"/>
          <w:szCs w:val="24"/>
        </w:rPr>
        <w:t>consider expanding</w:t>
      </w:r>
      <w:r w:rsidR="00953976" w:rsidRPr="000F0F71">
        <w:rPr>
          <w:rFonts w:ascii="Arial" w:eastAsiaTheme="majorEastAsia" w:hAnsi="Arial" w:cs="Arial"/>
          <w:bCs/>
          <w:sz w:val="24"/>
          <w:szCs w:val="24"/>
        </w:rPr>
        <w:t xml:space="preserve"> the role of competition in the delivery of human services.</w:t>
      </w:r>
    </w:p>
    <w:p w14:paraId="04580F0C" w14:textId="77777777" w:rsidR="003F2B72" w:rsidRPr="000F0F71" w:rsidRDefault="003F2B72" w:rsidP="008115DE">
      <w:pPr>
        <w:pStyle w:val="ListParagraph"/>
        <w:numPr>
          <w:ilvl w:val="0"/>
          <w:numId w:val="24"/>
        </w:numPr>
        <w:ind w:left="714" w:hanging="357"/>
        <w:rPr>
          <w:rFonts w:ascii="Arial" w:eastAsiaTheme="majorEastAsia" w:hAnsi="Arial" w:cs="Arial"/>
          <w:bCs/>
          <w:sz w:val="24"/>
          <w:szCs w:val="24"/>
        </w:rPr>
      </w:pPr>
      <w:r w:rsidRPr="000F0F71">
        <w:rPr>
          <w:rFonts w:ascii="Arial" w:eastAsiaTheme="majorEastAsia" w:hAnsi="Arial" w:cs="Arial"/>
          <w:bCs/>
          <w:sz w:val="24"/>
          <w:szCs w:val="24"/>
        </w:rPr>
        <w:t>Recommendations</w:t>
      </w:r>
      <w:r w:rsidR="00BF495A" w:rsidRPr="000F0F71">
        <w:rPr>
          <w:rFonts w:ascii="Arial" w:eastAsiaTheme="majorEastAsia" w:hAnsi="Arial" w:cs="Arial"/>
          <w:bCs/>
          <w:sz w:val="24"/>
          <w:szCs w:val="24"/>
        </w:rPr>
        <w:t xml:space="preserve"> </w:t>
      </w:r>
      <w:r w:rsidRPr="000F0F71">
        <w:rPr>
          <w:rFonts w:ascii="Arial" w:eastAsiaTheme="majorEastAsia" w:hAnsi="Arial" w:cs="Arial"/>
          <w:bCs/>
          <w:sz w:val="24"/>
          <w:szCs w:val="24"/>
        </w:rPr>
        <w:t xml:space="preserve">from </w:t>
      </w:r>
      <w:r w:rsidR="004D65A8" w:rsidRPr="000F0F71">
        <w:rPr>
          <w:rFonts w:ascii="Arial" w:hAnsi="Arial" w:cs="Arial"/>
          <w:sz w:val="24"/>
          <w:szCs w:val="24"/>
        </w:rPr>
        <w:t xml:space="preserve">an interim report on welfare reform (from an advisory group headed by Patrick McClure) </w:t>
      </w:r>
      <w:r w:rsidRPr="000F0F71">
        <w:rPr>
          <w:rFonts w:ascii="Arial" w:eastAsiaTheme="majorEastAsia" w:hAnsi="Arial" w:cs="Arial"/>
          <w:bCs/>
          <w:sz w:val="24"/>
          <w:szCs w:val="24"/>
        </w:rPr>
        <w:t xml:space="preserve">should be reflected in the 2015 </w:t>
      </w:r>
      <w:r w:rsidR="000F0F71">
        <w:rPr>
          <w:rFonts w:ascii="Arial" w:eastAsiaTheme="majorEastAsia" w:hAnsi="Arial" w:cs="Arial"/>
          <w:bCs/>
          <w:sz w:val="24"/>
          <w:szCs w:val="24"/>
        </w:rPr>
        <w:t xml:space="preserve">federal </w:t>
      </w:r>
      <w:r w:rsidR="004D65A8" w:rsidRPr="000F0F71">
        <w:rPr>
          <w:rFonts w:ascii="Arial" w:eastAsiaTheme="majorEastAsia" w:hAnsi="Arial" w:cs="Arial"/>
          <w:bCs/>
          <w:sz w:val="24"/>
          <w:szCs w:val="24"/>
        </w:rPr>
        <w:t>B</w:t>
      </w:r>
      <w:r w:rsidRPr="000F0F71">
        <w:rPr>
          <w:rFonts w:ascii="Arial" w:eastAsiaTheme="majorEastAsia" w:hAnsi="Arial" w:cs="Arial"/>
          <w:bCs/>
          <w:sz w:val="24"/>
          <w:szCs w:val="24"/>
        </w:rPr>
        <w:t>udget</w:t>
      </w:r>
      <w:r w:rsidR="004D65A8" w:rsidRPr="000F0F71">
        <w:rPr>
          <w:rFonts w:ascii="Arial" w:eastAsiaTheme="majorEastAsia" w:hAnsi="Arial" w:cs="Arial"/>
          <w:bCs/>
          <w:sz w:val="24"/>
          <w:szCs w:val="24"/>
        </w:rPr>
        <w:t>.</w:t>
      </w:r>
    </w:p>
    <w:p w14:paraId="4145FD7A" w14:textId="77777777" w:rsidR="003A6A5D" w:rsidRPr="00133CFB" w:rsidRDefault="003A6A5D" w:rsidP="001F094B">
      <w:pPr>
        <w:pStyle w:val="Heading2"/>
      </w:pPr>
      <w:bookmarkStart w:id="154" w:name="_Toc404089930"/>
      <w:r w:rsidRPr="00133CFB">
        <w:t>National Disability Strategy</w:t>
      </w:r>
      <w:bookmarkEnd w:id="150"/>
      <w:bookmarkEnd w:id="151"/>
      <w:bookmarkEnd w:id="154"/>
    </w:p>
    <w:p w14:paraId="3519FB0D" w14:textId="77777777" w:rsidR="003A6A5D" w:rsidRPr="00133CFB" w:rsidRDefault="003A6A5D" w:rsidP="004E7B04">
      <w:pPr>
        <w:rPr>
          <w:rFonts w:ascii="Arial" w:hAnsi="Arial" w:cs="Arial"/>
          <w:sz w:val="24"/>
          <w:szCs w:val="24"/>
        </w:rPr>
      </w:pPr>
      <w:r w:rsidRPr="00133CFB">
        <w:rPr>
          <w:rFonts w:ascii="Arial" w:hAnsi="Arial" w:cs="Arial"/>
          <w:sz w:val="24"/>
          <w:szCs w:val="24"/>
        </w:rPr>
        <w:t>The National Disability Strategy is a whole-of-government 10-year plan to promote the rights and social inclusion of Australians with disability. It covers the key domains of health and wellbeing; economic security; learning and skills development; rights and justice; accessible communities; and personal support. Apart from the launch of the NDIS, the strategy</w:t>
      </w:r>
      <w:r w:rsidR="00C94B8A">
        <w:rPr>
          <w:rFonts w:ascii="Arial" w:hAnsi="Arial" w:cs="Arial"/>
          <w:sz w:val="24"/>
          <w:szCs w:val="24"/>
        </w:rPr>
        <w:t>’</w:t>
      </w:r>
      <w:r w:rsidRPr="00133CFB">
        <w:rPr>
          <w:rFonts w:ascii="Arial" w:hAnsi="Arial" w:cs="Arial"/>
          <w:sz w:val="24"/>
          <w:szCs w:val="24"/>
        </w:rPr>
        <w:t xml:space="preserve">s progress has been patchy. Its vision is powerful, but it has no additional funding attached and its performance measures are weak. </w:t>
      </w:r>
    </w:p>
    <w:p w14:paraId="40C0F15F" w14:textId="77777777" w:rsidR="003A6A5D" w:rsidRPr="00133CFB" w:rsidRDefault="003A6A5D" w:rsidP="004E7B04">
      <w:pPr>
        <w:pStyle w:val="ListParagraph"/>
        <w:ind w:left="0"/>
        <w:contextualSpacing w:val="0"/>
        <w:rPr>
          <w:rFonts w:ascii="Arial" w:hAnsi="Arial" w:cs="Arial"/>
          <w:sz w:val="24"/>
          <w:szCs w:val="24"/>
        </w:rPr>
      </w:pPr>
      <w:r w:rsidRPr="00133CFB">
        <w:rPr>
          <w:rFonts w:ascii="Arial" w:hAnsi="Arial" w:cs="Arial"/>
          <w:b/>
          <w:sz w:val="24"/>
          <w:szCs w:val="24"/>
        </w:rPr>
        <w:t>Aged care reforms</w:t>
      </w:r>
      <w:r w:rsidRPr="00133CFB">
        <w:rPr>
          <w:rFonts w:ascii="Arial" w:hAnsi="Arial" w:cs="Arial"/>
          <w:sz w:val="24"/>
          <w:szCs w:val="24"/>
        </w:rPr>
        <w:t xml:space="preserve"> commencing in July 2014 were advertised with the words ‘As I get older I want to have choice and control’. Use of the NDIS phrase ‘choice and control’ hints at the policy convergence that could lie ahead. Convergence is more likely since last year’s combining of aged care and disability in a single federal portfolio and department. At this stage, however, there is no sign that the Government will replace the stringent aged care funding caps with the NDIS concept of ‘reasonable and necessary support’. </w:t>
      </w:r>
    </w:p>
    <w:p w14:paraId="44F8A693" w14:textId="77777777" w:rsidR="003A6A5D" w:rsidRPr="00133CFB" w:rsidRDefault="003A6A5D" w:rsidP="004E7B04">
      <w:pPr>
        <w:pStyle w:val="ListParagraph"/>
        <w:ind w:left="0"/>
        <w:contextualSpacing w:val="0"/>
        <w:rPr>
          <w:rFonts w:ascii="Arial" w:hAnsi="Arial" w:cs="Arial"/>
          <w:sz w:val="24"/>
          <w:szCs w:val="24"/>
        </w:rPr>
      </w:pPr>
      <w:r w:rsidRPr="00133CFB">
        <w:rPr>
          <w:rFonts w:ascii="Arial" w:hAnsi="Arial" w:cs="Arial"/>
          <w:sz w:val="24"/>
          <w:szCs w:val="24"/>
        </w:rPr>
        <w:t xml:space="preserve">Improving the </w:t>
      </w:r>
      <w:r w:rsidRPr="00133CFB">
        <w:rPr>
          <w:rFonts w:ascii="Arial" w:hAnsi="Arial" w:cs="Arial"/>
          <w:b/>
          <w:sz w:val="24"/>
          <w:szCs w:val="24"/>
        </w:rPr>
        <w:t>education</w:t>
      </w:r>
      <w:r w:rsidRPr="00133CFB">
        <w:rPr>
          <w:rFonts w:ascii="Arial" w:hAnsi="Arial" w:cs="Arial"/>
          <w:sz w:val="24"/>
          <w:szCs w:val="24"/>
        </w:rPr>
        <w:t xml:space="preserve"> system’s support for students with disability is on governments’ agenda, but progress is slow. Edu</w:t>
      </w:r>
      <w:r w:rsidR="00C94B8A">
        <w:rPr>
          <w:rFonts w:ascii="Arial" w:hAnsi="Arial" w:cs="Arial"/>
          <w:sz w:val="24"/>
          <w:szCs w:val="24"/>
        </w:rPr>
        <w:t xml:space="preserve">cation Ministers have agreed </w:t>
      </w:r>
      <w:r w:rsidRPr="00133CFB">
        <w:rPr>
          <w:rFonts w:ascii="Arial" w:hAnsi="Arial" w:cs="Arial"/>
          <w:sz w:val="24"/>
          <w:szCs w:val="24"/>
        </w:rPr>
        <w:t>a nationally consistent definition of disability</w:t>
      </w:r>
      <w:r w:rsidR="00FD373C">
        <w:rPr>
          <w:rFonts w:ascii="Arial" w:hAnsi="Arial" w:cs="Arial"/>
          <w:sz w:val="24"/>
          <w:szCs w:val="24"/>
        </w:rPr>
        <w:t xml:space="preserve"> that</w:t>
      </w:r>
      <w:r w:rsidRPr="00133CFB">
        <w:rPr>
          <w:rFonts w:ascii="Arial" w:hAnsi="Arial" w:cs="Arial"/>
          <w:sz w:val="24"/>
          <w:szCs w:val="24"/>
        </w:rPr>
        <w:t xml:space="preserve"> all schools will use from 2015. This will provide comprehensive data to inform the calculation of a disability loading in education funding. Resources are also being developed to help teachers meet their obligations under the Disability Standards for Education. </w:t>
      </w:r>
    </w:p>
    <w:p w14:paraId="121B1FCF" w14:textId="77777777" w:rsidR="003A6A5D" w:rsidRPr="00133CFB" w:rsidRDefault="003A6A5D" w:rsidP="004E7B04">
      <w:pPr>
        <w:pStyle w:val="ListParagraph"/>
        <w:ind w:left="0"/>
        <w:contextualSpacing w:val="0"/>
        <w:rPr>
          <w:rFonts w:ascii="Arial" w:hAnsi="Arial" w:cs="Arial"/>
          <w:sz w:val="24"/>
          <w:szCs w:val="24"/>
        </w:rPr>
      </w:pPr>
      <w:r w:rsidRPr="00133CFB">
        <w:rPr>
          <w:rFonts w:ascii="Arial" w:hAnsi="Arial" w:cs="Arial"/>
          <w:sz w:val="24"/>
          <w:szCs w:val="24"/>
        </w:rPr>
        <w:t xml:space="preserve">Governments across the country have begun to show interest in improving the plight of people with disability in </w:t>
      </w:r>
      <w:r w:rsidRPr="00133CFB">
        <w:rPr>
          <w:rFonts w:ascii="Arial" w:hAnsi="Arial" w:cs="Arial"/>
          <w:b/>
          <w:sz w:val="24"/>
          <w:szCs w:val="24"/>
        </w:rPr>
        <w:t>justice systems</w:t>
      </w:r>
      <w:r w:rsidRPr="00133CFB">
        <w:rPr>
          <w:rFonts w:ascii="Arial" w:hAnsi="Arial" w:cs="Arial"/>
          <w:sz w:val="24"/>
          <w:szCs w:val="24"/>
        </w:rPr>
        <w:t xml:space="preserve">, with initiatives under way to educate </w:t>
      </w:r>
      <w:r w:rsidRPr="00133CFB">
        <w:rPr>
          <w:rFonts w:ascii="Arial" w:hAnsi="Arial" w:cs="Arial"/>
          <w:sz w:val="24"/>
          <w:szCs w:val="24"/>
        </w:rPr>
        <w:lastRenderedPageBreak/>
        <w:t>police and other legal staff about working with people with disability and reduce the high incarceration rates of people with cognitive impairment.</w:t>
      </w:r>
    </w:p>
    <w:p w14:paraId="35A009D6" w14:textId="77777777" w:rsidR="003A6A5D" w:rsidRPr="00133CFB" w:rsidRDefault="003A6A5D" w:rsidP="001F094B">
      <w:pPr>
        <w:pStyle w:val="Heading2"/>
      </w:pPr>
      <w:bookmarkStart w:id="155" w:name="_Toc403038205"/>
      <w:bookmarkStart w:id="156" w:name="_Toc403051745"/>
      <w:bookmarkStart w:id="157" w:name="_Toc404089931"/>
      <w:r w:rsidRPr="00133CFB">
        <w:t>Welfare reform</w:t>
      </w:r>
      <w:bookmarkEnd w:id="155"/>
      <w:bookmarkEnd w:id="156"/>
      <w:bookmarkEnd w:id="157"/>
    </w:p>
    <w:p w14:paraId="57A63513" w14:textId="77777777" w:rsidR="003A6A5D" w:rsidRPr="00133CFB" w:rsidRDefault="003A6A5D" w:rsidP="008E0B37">
      <w:pPr>
        <w:rPr>
          <w:rFonts w:ascii="Arial" w:hAnsi="Arial" w:cs="Arial"/>
          <w:sz w:val="24"/>
          <w:szCs w:val="24"/>
        </w:rPr>
      </w:pPr>
      <w:r w:rsidRPr="00133CFB">
        <w:rPr>
          <w:rFonts w:ascii="Arial" w:hAnsi="Arial" w:cs="Arial"/>
          <w:sz w:val="24"/>
          <w:szCs w:val="24"/>
        </w:rPr>
        <w:t xml:space="preserve">The Australian Government is reforming the complex interface between income support and employment. </w:t>
      </w:r>
      <w:r w:rsidR="004D65A8">
        <w:rPr>
          <w:rFonts w:ascii="Arial" w:hAnsi="Arial" w:cs="Arial"/>
          <w:sz w:val="24"/>
          <w:szCs w:val="24"/>
        </w:rPr>
        <w:t>The interim McClure report</w:t>
      </w:r>
      <w:r w:rsidRPr="00133CFB">
        <w:rPr>
          <w:rFonts w:ascii="Arial" w:hAnsi="Arial" w:cs="Arial"/>
          <w:sz w:val="24"/>
          <w:szCs w:val="24"/>
        </w:rPr>
        <w:t xml:space="preserve"> is constructed around four reform pillars: a simpler and sustainable income support system; strengthening individual and family capacity; engaging with employers; and building community capacity. It proposes restricting the Disability Support Pension (DSP) to people</w:t>
      </w:r>
      <w:r w:rsidR="00A251F6">
        <w:rPr>
          <w:rFonts w:ascii="Arial" w:hAnsi="Arial" w:cs="Arial"/>
          <w:sz w:val="24"/>
          <w:szCs w:val="24"/>
        </w:rPr>
        <w:t xml:space="preserve"> with </w:t>
      </w:r>
      <w:r w:rsidRPr="00133CFB">
        <w:rPr>
          <w:rFonts w:ascii="Arial" w:hAnsi="Arial" w:cs="Arial"/>
          <w:sz w:val="24"/>
          <w:szCs w:val="24"/>
        </w:rPr>
        <w:t>permanent disability and no capacity to work, and creating a tiered working-age payment for people who have current or future work capacity.</w:t>
      </w:r>
    </w:p>
    <w:p w14:paraId="1E4F0E0B" w14:textId="77777777" w:rsidR="003A6A5D" w:rsidRPr="00133CFB" w:rsidRDefault="003A6A5D" w:rsidP="008E0B37">
      <w:pPr>
        <w:rPr>
          <w:rFonts w:ascii="Arial" w:hAnsi="Arial" w:cs="Arial"/>
          <w:sz w:val="24"/>
          <w:szCs w:val="24"/>
        </w:rPr>
      </w:pPr>
      <w:r w:rsidRPr="00133CFB">
        <w:rPr>
          <w:rFonts w:ascii="Arial" w:hAnsi="Arial" w:cs="Arial"/>
          <w:sz w:val="24"/>
          <w:szCs w:val="24"/>
        </w:rPr>
        <w:t xml:space="preserve">The </w:t>
      </w:r>
      <w:r w:rsidRPr="00133CFB">
        <w:rPr>
          <w:rFonts w:ascii="Arial" w:hAnsi="Arial" w:cs="Arial"/>
          <w:b/>
          <w:sz w:val="24"/>
          <w:szCs w:val="24"/>
        </w:rPr>
        <w:t>2014 federal Budget</w:t>
      </w:r>
      <w:r w:rsidRPr="00133CFB">
        <w:rPr>
          <w:rFonts w:ascii="Arial" w:hAnsi="Arial" w:cs="Arial"/>
          <w:sz w:val="24"/>
          <w:szCs w:val="24"/>
        </w:rPr>
        <w:t xml:space="preserve"> announced measures designed to </w:t>
      </w:r>
      <w:r w:rsidR="00BF495A">
        <w:rPr>
          <w:rFonts w:ascii="Arial" w:hAnsi="Arial" w:cs="Arial"/>
          <w:sz w:val="24"/>
          <w:szCs w:val="24"/>
        </w:rPr>
        <w:t>encourage</w:t>
      </w:r>
      <w:r w:rsidRPr="00133CFB">
        <w:rPr>
          <w:rFonts w:ascii="Arial" w:hAnsi="Arial" w:cs="Arial"/>
          <w:sz w:val="24"/>
          <w:szCs w:val="24"/>
        </w:rPr>
        <w:t xml:space="preserve"> people with disability to find work, including imposing participation requirements on DSP recipients aged under 35. These measures are unlikely to boost the low employment rate of Australians with disability without increased investment and policy effort to improve pathways to employment, the capacity of employment services and the responsiveness of employers. Welfare reform is likely to figure in the 2015 federal Budget.</w:t>
      </w:r>
    </w:p>
    <w:p w14:paraId="59DA844D" w14:textId="77777777" w:rsidR="003A6A5D" w:rsidRPr="00133CFB" w:rsidRDefault="003A6A5D" w:rsidP="001F094B">
      <w:pPr>
        <w:pStyle w:val="Heading2"/>
      </w:pPr>
      <w:bookmarkStart w:id="158" w:name="_Toc403038207"/>
      <w:bookmarkStart w:id="159" w:name="_Toc403051747"/>
      <w:bookmarkStart w:id="160" w:name="_Toc404089932"/>
      <w:r w:rsidRPr="00133CFB">
        <w:t>Not-for-profit reform</w:t>
      </w:r>
      <w:bookmarkEnd w:id="158"/>
      <w:bookmarkEnd w:id="159"/>
      <w:bookmarkEnd w:id="160"/>
    </w:p>
    <w:p w14:paraId="2F1262AD" w14:textId="77777777" w:rsidR="003A6A5D" w:rsidRDefault="003A6A5D" w:rsidP="008E0B37">
      <w:pPr>
        <w:rPr>
          <w:rFonts w:ascii="Arial" w:hAnsi="Arial" w:cs="Arial"/>
          <w:sz w:val="24"/>
          <w:szCs w:val="24"/>
        </w:rPr>
      </w:pPr>
      <w:r w:rsidRPr="00133CFB">
        <w:rPr>
          <w:rFonts w:ascii="Arial" w:hAnsi="Arial" w:cs="Arial"/>
          <w:sz w:val="24"/>
          <w:szCs w:val="24"/>
        </w:rPr>
        <w:t>The Governm</w:t>
      </w:r>
      <w:r w:rsidR="007619E4">
        <w:rPr>
          <w:rFonts w:ascii="Arial" w:hAnsi="Arial" w:cs="Arial"/>
          <w:sz w:val="24"/>
          <w:szCs w:val="24"/>
        </w:rPr>
        <w:t>ent has introduced a Bill into P</w:t>
      </w:r>
      <w:r w:rsidRPr="00133CFB">
        <w:rPr>
          <w:rFonts w:ascii="Arial" w:hAnsi="Arial" w:cs="Arial"/>
          <w:sz w:val="24"/>
          <w:szCs w:val="24"/>
        </w:rPr>
        <w:t xml:space="preserve">arliament to close down the Australian Charities and Not-for-profits Commission (ACNC) and, in July 2014, released an options paper recommending it be replaced by a mix of oversight from the Australian Tax Office (ATO) and self-reporting by not-for-profits. Whatever the future regulatory structure, there are important functions of the ACNC that should not be lost: the provision of advice; the maintenance of a register of charitable organisations; and the issuing of authoritative up-to-date certificates of charitable status. Returning the power to determine charitable status to the ATO would be problematic – less so if </w:t>
      </w:r>
      <w:r w:rsidR="00BF495A">
        <w:rPr>
          <w:rFonts w:ascii="Arial" w:hAnsi="Arial" w:cs="Arial"/>
          <w:sz w:val="24"/>
          <w:szCs w:val="24"/>
        </w:rPr>
        <w:t>it is</w:t>
      </w:r>
      <w:r w:rsidRPr="00133CFB">
        <w:rPr>
          <w:rFonts w:ascii="Arial" w:hAnsi="Arial" w:cs="Arial"/>
          <w:sz w:val="24"/>
          <w:szCs w:val="24"/>
        </w:rPr>
        <w:t xml:space="preserve"> agreed to establish a dedicated ATO unit and an independent external review panel. </w:t>
      </w:r>
    </w:p>
    <w:p w14:paraId="6F60657B" w14:textId="77777777" w:rsidR="003F2B72" w:rsidRPr="00133CFB" w:rsidRDefault="003F2B72" w:rsidP="001F094B">
      <w:pPr>
        <w:pStyle w:val="Heading2"/>
      </w:pPr>
      <w:r>
        <w:t xml:space="preserve">Competition </w:t>
      </w:r>
      <w:r w:rsidR="00A251F6">
        <w:t>p</w:t>
      </w:r>
      <w:r>
        <w:t>olicy</w:t>
      </w:r>
    </w:p>
    <w:p w14:paraId="60220955" w14:textId="77777777" w:rsidR="00A251F6" w:rsidRDefault="003A6A5D" w:rsidP="008E0B37">
      <w:pPr>
        <w:rPr>
          <w:rFonts w:ascii="Arial" w:hAnsi="Arial" w:cs="Arial"/>
          <w:sz w:val="24"/>
          <w:szCs w:val="24"/>
        </w:rPr>
      </w:pPr>
      <w:r w:rsidRPr="00133CFB">
        <w:rPr>
          <w:rFonts w:ascii="Arial" w:hAnsi="Arial" w:cs="Arial"/>
          <w:sz w:val="24"/>
          <w:szCs w:val="24"/>
        </w:rPr>
        <w:t xml:space="preserve">The Government’s current review of </w:t>
      </w:r>
      <w:r w:rsidRPr="00133CFB">
        <w:rPr>
          <w:rFonts w:ascii="Arial" w:hAnsi="Arial" w:cs="Arial"/>
          <w:b/>
          <w:sz w:val="24"/>
          <w:szCs w:val="24"/>
        </w:rPr>
        <w:t>competition policy</w:t>
      </w:r>
      <w:r w:rsidRPr="00133CFB">
        <w:rPr>
          <w:rFonts w:ascii="Arial" w:hAnsi="Arial" w:cs="Arial"/>
          <w:sz w:val="24"/>
          <w:szCs w:val="24"/>
        </w:rPr>
        <w:t xml:space="preserve"> includes a focus on the community services sector. There are benefits to consumers in expanding the role of non-government service providers: typically they are less bureaucratic, more responsive to local needs and preferences, more mission-driven and more efficient than their government-owned counterparts. </w:t>
      </w:r>
    </w:p>
    <w:p w14:paraId="14CCE037" w14:textId="77777777" w:rsidR="003F2B72" w:rsidRDefault="003A6A5D" w:rsidP="008E0B37">
      <w:pPr>
        <w:rPr>
          <w:rFonts w:ascii="Arial" w:hAnsi="Arial" w:cs="Arial"/>
          <w:sz w:val="24"/>
          <w:szCs w:val="24"/>
        </w:rPr>
      </w:pPr>
      <w:r w:rsidRPr="00133CFB">
        <w:rPr>
          <w:rFonts w:ascii="Arial" w:hAnsi="Arial" w:cs="Arial"/>
          <w:sz w:val="24"/>
          <w:szCs w:val="24"/>
        </w:rPr>
        <w:t xml:space="preserve">Competition will grow as governments outsource disability services and for-profit providers enter the market. This should expand choice for consumers, but risks will need to </w:t>
      </w:r>
      <w:r w:rsidR="00CA429E">
        <w:rPr>
          <w:rFonts w:ascii="Arial" w:hAnsi="Arial" w:cs="Arial"/>
          <w:sz w:val="24"/>
          <w:szCs w:val="24"/>
        </w:rPr>
        <w:t>be managed. It would be counter</w:t>
      </w:r>
      <w:r w:rsidRPr="00133CFB">
        <w:rPr>
          <w:rFonts w:ascii="Arial" w:hAnsi="Arial" w:cs="Arial"/>
          <w:sz w:val="24"/>
          <w:szCs w:val="24"/>
        </w:rPr>
        <w:t xml:space="preserve">productive to drive out good not-for-profit providers if all they lack are the resources and skills to market their services. Equally, </w:t>
      </w:r>
      <w:r w:rsidRPr="00133CFB">
        <w:rPr>
          <w:rFonts w:ascii="Arial" w:hAnsi="Arial" w:cs="Arial"/>
          <w:sz w:val="24"/>
          <w:szCs w:val="24"/>
        </w:rPr>
        <w:lastRenderedPageBreak/>
        <w:t>increased competition would be counter-productive if it weakened the ability of not-for</w:t>
      </w:r>
      <w:r w:rsidR="008A497B">
        <w:rPr>
          <w:rFonts w:ascii="Arial" w:hAnsi="Arial" w:cs="Arial"/>
          <w:sz w:val="24"/>
          <w:szCs w:val="24"/>
        </w:rPr>
        <w:t>-</w:t>
      </w:r>
      <w:r w:rsidRPr="00133CFB">
        <w:rPr>
          <w:rFonts w:ascii="Arial" w:hAnsi="Arial" w:cs="Arial"/>
          <w:sz w:val="24"/>
          <w:szCs w:val="24"/>
        </w:rPr>
        <w:t xml:space="preserve">profit services to cooperate and collaborate, particularly </w:t>
      </w:r>
      <w:r w:rsidR="0085128B">
        <w:rPr>
          <w:rFonts w:ascii="Arial" w:hAnsi="Arial" w:cs="Arial"/>
          <w:sz w:val="24"/>
          <w:szCs w:val="24"/>
        </w:rPr>
        <w:t>on</w:t>
      </w:r>
      <w:r w:rsidRPr="00133CFB">
        <w:rPr>
          <w:rFonts w:ascii="Arial" w:hAnsi="Arial" w:cs="Arial"/>
          <w:sz w:val="24"/>
          <w:szCs w:val="24"/>
        </w:rPr>
        <w:t xml:space="preserve"> community development and the p</w:t>
      </w:r>
      <w:r w:rsidR="007619E4">
        <w:rPr>
          <w:rFonts w:ascii="Arial" w:hAnsi="Arial" w:cs="Arial"/>
          <w:sz w:val="24"/>
          <w:szCs w:val="24"/>
        </w:rPr>
        <w:t>roduction of social capital.</w:t>
      </w:r>
      <w:bookmarkStart w:id="161" w:name="_Toc404089933"/>
    </w:p>
    <w:bookmarkEnd w:id="161"/>
    <w:p w14:paraId="12C26BC2" w14:textId="77777777" w:rsidR="00F33AA8" w:rsidRPr="009861A6" w:rsidRDefault="00F33AA8" w:rsidP="001F094B">
      <w:pPr>
        <w:pStyle w:val="Heading2"/>
      </w:pPr>
      <w:r w:rsidRPr="009861A6">
        <w:t>Quality and compliance trends</w:t>
      </w:r>
      <w:r w:rsidR="00B44C49">
        <w:t>,</w:t>
      </w:r>
      <w:r w:rsidRPr="009861A6">
        <w:t xml:space="preserve"> including red tape reduction</w:t>
      </w:r>
    </w:p>
    <w:p w14:paraId="47ACB9C8" w14:textId="77777777" w:rsidR="00F33AA8" w:rsidRPr="009861A6" w:rsidRDefault="00F33AA8" w:rsidP="008E0B37">
      <w:pPr>
        <w:rPr>
          <w:rFonts w:ascii="Arial" w:hAnsi="Arial" w:cs="Arial"/>
          <w:sz w:val="24"/>
          <w:szCs w:val="24"/>
        </w:rPr>
      </w:pPr>
      <w:bookmarkStart w:id="162" w:name="_Toc404089926"/>
      <w:bookmarkStart w:id="163" w:name="_Toc403038237"/>
      <w:bookmarkStart w:id="164" w:name="_Toc403051769"/>
      <w:r w:rsidRPr="009861A6">
        <w:rPr>
          <w:rFonts w:ascii="Arial" w:hAnsi="Arial" w:cs="Arial"/>
          <w:sz w:val="24"/>
          <w:szCs w:val="24"/>
        </w:rPr>
        <w:t xml:space="preserve">Existing regulation for disability services is administered by </w:t>
      </w:r>
      <w:r>
        <w:rPr>
          <w:rFonts w:ascii="Arial" w:hAnsi="Arial" w:cs="Arial"/>
          <w:sz w:val="24"/>
          <w:szCs w:val="24"/>
        </w:rPr>
        <w:t>C</w:t>
      </w:r>
      <w:r w:rsidRPr="009861A6">
        <w:rPr>
          <w:rFonts w:ascii="Arial" w:hAnsi="Arial" w:cs="Arial"/>
          <w:sz w:val="24"/>
          <w:szCs w:val="24"/>
        </w:rPr>
        <w:t>ommonwealth, state and territory governments. Much of this will not be fit</w:t>
      </w:r>
      <w:r>
        <w:rPr>
          <w:rFonts w:ascii="Arial" w:hAnsi="Arial" w:cs="Arial"/>
          <w:sz w:val="24"/>
          <w:szCs w:val="24"/>
        </w:rPr>
        <w:t xml:space="preserve"> </w:t>
      </w:r>
      <w:r w:rsidRPr="009861A6">
        <w:rPr>
          <w:rFonts w:ascii="Arial" w:hAnsi="Arial" w:cs="Arial"/>
          <w:sz w:val="24"/>
          <w:szCs w:val="24"/>
        </w:rPr>
        <w:t>for</w:t>
      </w:r>
      <w:r>
        <w:rPr>
          <w:rFonts w:ascii="Arial" w:hAnsi="Arial" w:cs="Arial"/>
          <w:sz w:val="24"/>
          <w:szCs w:val="24"/>
        </w:rPr>
        <w:t xml:space="preserve"> </w:t>
      </w:r>
      <w:r w:rsidRPr="009861A6">
        <w:rPr>
          <w:rFonts w:ascii="Arial" w:hAnsi="Arial" w:cs="Arial"/>
          <w:sz w:val="24"/>
          <w:szCs w:val="24"/>
        </w:rPr>
        <w:t>purpose in an NDIS market. For example, contracts between governments and providers will no</w:t>
      </w:r>
      <w:r w:rsidR="008A497B">
        <w:rPr>
          <w:rFonts w:ascii="Arial" w:hAnsi="Arial" w:cs="Arial"/>
          <w:sz w:val="24"/>
          <w:szCs w:val="24"/>
        </w:rPr>
        <w:t xml:space="preserve"> </w:t>
      </w:r>
      <w:r w:rsidRPr="009861A6">
        <w:rPr>
          <w:rFonts w:ascii="Arial" w:hAnsi="Arial" w:cs="Arial"/>
          <w:sz w:val="24"/>
          <w:szCs w:val="24"/>
        </w:rPr>
        <w:t>longer be available as the key mechanism for promoting and monitoring quality standards.</w:t>
      </w:r>
    </w:p>
    <w:p w14:paraId="4860125C" w14:textId="77777777" w:rsidR="00F33AA8" w:rsidRPr="009861A6" w:rsidRDefault="00F33AA8" w:rsidP="008E0B37">
      <w:pPr>
        <w:rPr>
          <w:rFonts w:ascii="Arial" w:hAnsi="Arial" w:cs="Arial"/>
          <w:sz w:val="24"/>
          <w:szCs w:val="24"/>
        </w:rPr>
      </w:pPr>
      <w:r w:rsidRPr="009861A6">
        <w:rPr>
          <w:rFonts w:ascii="Arial" w:hAnsi="Arial" w:cs="Arial"/>
          <w:sz w:val="24"/>
          <w:szCs w:val="24"/>
        </w:rPr>
        <w:t xml:space="preserve">The Council of Australian Governments (COAG) is tasked with developing a regulatory framework </w:t>
      </w:r>
      <w:r>
        <w:rPr>
          <w:rFonts w:ascii="Arial" w:hAnsi="Arial" w:cs="Arial"/>
          <w:sz w:val="24"/>
          <w:szCs w:val="24"/>
        </w:rPr>
        <w:t>for the full roll</w:t>
      </w:r>
      <w:r w:rsidRPr="009861A6">
        <w:rPr>
          <w:rFonts w:ascii="Arial" w:hAnsi="Arial" w:cs="Arial"/>
          <w:sz w:val="24"/>
          <w:szCs w:val="24"/>
        </w:rPr>
        <w:t xml:space="preserve">out of the NDIS. A consultation Regulatory Impact Statement (RIS) on quality and safeguards is expected to be released in February 2015. </w:t>
      </w:r>
    </w:p>
    <w:p w14:paraId="28AD320F" w14:textId="77777777" w:rsidR="00F33AA8" w:rsidRPr="009861A6" w:rsidRDefault="00F33AA8" w:rsidP="008E0B37">
      <w:pPr>
        <w:rPr>
          <w:rFonts w:ascii="Arial" w:hAnsi="Arial" w:cs="Arial"/>
          <w:sz w:val="24"/>
          <w:szCs w:val="24"/>
        </w:rPr>
      </w:pPr>
      <w:r w:rsidRPr="009861A6">
        <w:rPr>
          <w:rFonts w:ascii="Arial" w:hAnsi="Arial" w:cs="Arial"/>
          <w:sz w:val="24"/>
          <w:szCs w:val="24"/>
        </w:rPr>
        <w:t xml:space="preserve">NDS acknowledges the challenge for all governments to agree on a nationally consistent approach to regulation. However, </w:t>
      </w:r>
      <w:r w:rsidR="0085128B">
        <w:rPr>
          <w:rFonts w:ascii="Arial" w:hAnsi="Arial" w:cs="Arial"/>
          <w:sz w:val="24"/>
          <w:szCs w:val="24"/>
        </w:rPr>
        <w:t>this would</w:t>
      </w:r>
      <w:r w:rsidRPr="009861A6">
        <w:rPr>
          <w:rFonts w:ascii="Arial" w:hAnsi="Arial" w:cs="Arial"/>
          <w:sz w:val="24"/>
          <w:szCs w:val="24"/>
        </w:rPr>
        <w:t xml:space="preserve"> address longstanding regulatory inconsistencies across states and territories. The time is right to develop a more coherent and efficient regulatory system.</w:t>
      </w:r>
    </w:p>
    <w:p w14:paraId="17662CBD" w14:textId="77777777" w:rsidR="00F33AA8" w:rsidRPr="009861A6" w:rsidRDefault="00F33AA8" w:rsidP="008E0B37">
      <w:pPr>
        <w:rPr>
          <w:rFonts w:ascii="Arial" w:hAnsi="Arial" w:cs="Arial"/>
          <w:sz w:val="24"/>
          <w:szCs w:val="24"/>
        </w:rPr>
      </w:pPr>
      <w:r w:rsidRPr="000F0F71">
        <w:rPr>
          <w:rFonts w:ascii="Arial" w:hAnsi="Arial" w:cs="Arial"/>
          <w:sz w:val="24"/>
          <w:szCs w:val="24"/>
        </w:rPr>
        <w:t xml:space="preserve">NDS is committed to </w:t>
      </w:r>
      <w:r w:rsidR="0085128B" w:rsidRPr="000F0F71">
        <w:rPr>
          <w:rFonts w:ascii="Arial" w:hAnsi="Arial" w:cs="Arial"/>
          <w:sz w:val="24"/>
          <w:szCs w:val="24"/>
        </w:rPr>
        <w:t>assisting members to provide</w:t>
      </w:r>
      <w:r w:rsidRPr="000F0F71">
        <w:rPr>
          <w:rFonts w:ascii="Arial" w:hAnsi="Arial" w:cs="Arial"/>
          <w:sz w:val="24"/>
          <w:szCs w:val="24"/>
        </w:rPr>
        <w:t xml:space="preserve"> safe, high-quality support for people with disability through systems grounded in the COAG-endorsed national disability services standards, while also </w:t>
      </w:r>
      <w:r w:rsidR="00EC3BD8" w:rsidRPr="000F0F71">
        <w:rPr>
          <w:rFonts w:ascii="Arial" w:hAnsi="Arial" w:cs="Arial"/>
          <w:sz w:val="24"/>
          <w:szCs w:val="24"/>
        </w:rPr>
        <w:t>advocating for reduction of</w:t>
      </w:r>
      <w:r w:rsidRPr="000F0F71">
        <w:rPr>
          <w:rFonts w:ascii="Arial" w:hAnsi="Arial" w:cs="Arial"/>
          <w:sz w:val="24"/>
          <w:szCs w:val="24"/>
        </w:rPr>
        <w:t xml:space="preserve"> unhelpful regulatory burdens. This</w:t>
      </w:r>
      <w:r w:rsidRPr="009861A6">
        <w:rPr>
          <w:rFonts w:ascii="Arial" w:hAnsi="Arial" w:cs="Arial"/>
          <w:sz w:val="24"/>
          <w:szCs w:val="24"/>
        </w:rPr>
        <w:t xml:space="preserve"> requires a risk</w:t>
      </w:r>
      <w:r>
        <w:rPr>
          <w:rFonts w:ascii="Arial" w:hAnsi="Arial" w:cs="Arial"/>
          <w:sz w:val="24"/>
          <w:szCs w:val="24"/>
        </w:rPr>
        <w:t>-</w:t>
      </w:r>
      <w:r w:rsidRPr="009861A6">
        <w:rPr>
          <w:rFonts w:ascii="Arial" w:hAnsi="Arial" w:cs="Arial"/>
          <w:sz w:val="24"/>
          <w:szCs w:val="24"/>
        </w:rPr>
        <w:t>based approach to bureaucracy, minimal duplication</w:t>
      </w:r>
      <w:r>
        <w:rPr>
          <w:rFonts w:ascii="Arial" w:hAnsi="Arial" w:cs="Arial"/>
          <w:sz w:val="24"/>
          <w:szCs w:val="24"/>
        </w:rPr>
        <w:t>,</w:t>
      </w:r>
      <w:r w:rsidRPr="009861A6">
        <w:rPr>
          <w:rFonts w:ascii="Arial" w:hAnsi="Arial" w:cs="Arial"/>
          <w:sz w:val="24"/>
          <w:szCs w:val="24"/>
        </w:rPr>
        <w:t xml:space="preserve"> and provider collaboration and choice on quality assurance and monitoring systems. </w:t>
      </w:r>
    </w:p>
    <w:p w14:paraId="45CF067B" w14:textId="77777777" w:rsidR="00F33AA8" w:rsidRPr="009861A6" w:rsidRDefault="00F33AA8" w:rsidP="008E0B37">
      <w:pPr>
        <w:rPr>
          <w:rFonts w:ascii="Arial" w:hAnsi="Arial" w:cs="Arial"/>
          <w:sz w:val="24"/>
          <w:szCs w:val="24"/>
        </w:rPr>
      </w:pPr>
      <w:r w:rsidRPr="009861A6">
        <w:rPr>
          <w:rFonts w:ascii="Arial" w:hAnsi="Arial" w:cs="Arial"/>
          <w:sz w:val="24"/>
          <w:szCs w:val="24"/>
        </w:rPr>
        <w:t>It is important to ensure the new quality and safeguard framework is well informed by disability provider experience</w:t>
      </w:r>
      <w:r>
        <w:rPr>
          <w:rFonts w:ascii="Arial" w:hAnsi="Arial" w:cs="Arial"/>
          <w:sz w:val="24"/>
          <w:szCs w:val="24"/>
        </w:rPr>
        <w:t>,</w:t>
      </w:r>
      <w:r w:rsidRPr="009861A6">
        <w:rPr>
          <w:rFonts w:ascii="Arial" w:hAnsi="Arial" w:cs="Arial"/>
          <w:sz w:val="24"/>
          <w:szCs w:val="24"/>
        </w:rPr>
        <w:t xml:space="preserve"> and NDS is seeking the views of members for </w:t>
      </w:r>
      <w:r w:rsidR="008A497B">
        <w:rPr>
          <w:rFonts w:ascii="Arial" w:hAnsi="Arial" w:cs="Arial"/>
          <w:sz w:val="24"/>
          <w:szCs w:val="24"/>
        </w:rPr>
        <w:t>its</w:t>
      </w:r>
      <w:r w:rsidRPr="009861A6">
        <w:rPr>
          <w:rFonts w:ascii="Arial" w:hAnsi="Arial" w:cs="Arial"/>
          <w:sz w:val="24"/>
          <w:szCs w:val="24"/>
        </w:rPr>
        <w:t xml:space="preserve"> input to the RIS. </w:t>
      </w:r>
      <w:r w:rsidR="00A9103E">
        <w:rPr>
          <w:rFonts w:ascii="Arial" w:hAnsi="Arial" w:cs="Arial"/>
          <w:sz w:val="24"/>
          <w:szCs w:val="24"/>
        </w:rPr>
        <w:t>NDS is</w:t>
      </w:r>
      <w:r w:rsidRPr="009861A6">
        <w:rPr>
          <w:rFonts w:ascii="Arial" w:hAnsi="Arial" w:cs="Arial"/>
          <w:sz w:val="24"/>
          <w:szCs w:val="24"/>
        </w:rPr>
        <w:t xml:space="preserve"> also consulting on policy proposals to recognise the key role the disability industry needs to play in setting, promoting and monitoring standards for appropriate practice – a co-regulation model.</w:t>
      </w:r>
    </w:p>
    <w:bookmarkEnd w:id="162"/>
    <w:bookmarkEnd w:id="163"/>
    <w:bookmarkEnd w:id="164"/>
    <w:p w14:paraId="323882E3" w14:textId="77777777" w:rsidR="00F33AA8" w:rsidRPr="009861A6" w:rsidRDefault="00F33AA8" w:rsidP="001F094B">
      <w:pPr>
        <w:pStyle w:val="Heading2"/>
        <w:rPr>
          <w:lang w:val="en-US"/>
        </w:rPr>
      </w:pPr>
      <w:r w:rsidRPr="009861A6">
        <w:rPr>
          <w:lang w:val="en-US"/>
        </w:rPr>
        <w:t xml:space="preserve">Safeguarding against abuse and neglect in the community sector </w:t>
      </w:r>
    </w:p>
    <w:p w14:paraId="3D020F03" w14:textId="77777777" w:rsidR="00EC3BD8" w:rsidRDefault="00F33AA8" w:rsidP="00F33AA8">
      <w:pPr>
        <w:rPr>
          <w:rFonts w:ascii="Arial" w:hAnsi="Arial" w:cs="Arial"/>
          <w:sz w:val="24"/>
          <w:szCs w:val="24"/>
          <w:lang w:val="en-US"/>
        </w:rPr>
      </w:pPr>
      <w:r w:rsidRPr="009861A6">
        <w:rPr>
          <w:rFonts w:ascii="Arial" w:hAnsi="Arial" w:cs="Arial"/>
          <w:sz w:val="24"/>
          <w:szCs w:val="24"/>
          <w:lang w:val="en-US"/>
        </w:rPr>
        <w:t xml:space="preserve">Alongside the development of regulation for the NDIS, governments are also considering the need to improve safeguarding across human services. For its part, NDS is assisting providers to prevent and improve responses to cases of abuse and neglect of people with disability through </w:t>
      </w:r>
      <w:r w:rsidR="00A9103E">
        <w:rPr>
          <w:rFonts w:ascii="Arial" w:hAnsi="Arial" w:cs="Arial"/>
          <w:sz w:val="24"/>
          <w:szCs w:val="24"/>
          <w:lang w:val="en-US"/>
        </w:rPr>
        <w:t>its</w:t>
      </w:r>
      <w:r w:rsidRPr="009861A6">
        <w:rPr>
          <w:rFonts w:ascii="Arial" w:hAnsi="Arial" w:cs="Arial"/>
          <w:sz w:val="24"/>
          <w:szCs w:val="24"/>
          <w:lang w:val="en-US"/>
        </w:rPr>
        <w:t xml:space="preserve"> Zero Tolerance project. </w:t>
      </w:r>
    </w:p>
    <w:p w14:paraId="1306CA0C" w14:textId="77777777" w:rsidR="00F33AA8" w:rsidRPr="009861A6" w:rsidRDefault="00F33AA8" w:rsidP="00F33AA8">
      <w:pPr>
        <w:rPr>
          <w:rFonts w:ascii="Arial" w:hAnsi="Arial" w:cs="Arial"/>
          <w:sz w:val="24"/>
          <w:szCs w:val="24"/>
          <w:lang w:val="en-US"/>
        </w:rPr>
      </w:pPr>
      <w:r w:rsidRPr="009861A6">
        <w:rPr>
          <w:rFonts w:ascii="Arial" w:hAnsi="Arial" w:cs="Arial"/>
          <w:sz w:val="24"/>
          <w:szCs w:val="24"/>
          <w:lang w:val="en-US"/>
        </w:rPr>
        <w:t xml:space="preserve">This </w:t>
      </w:r>
      <w:r w:rsidR="0099770A">
        <w:rPr>
          <w:rFonts w:ascii="Arial" w:hAnsi="Arial" w:cs="Arial"/>
          <w:sz w:val="24"/>
          <w:szCs w:val="24"/>
          <w:lang w:val="en-US"/>
        </w:rPr>
        <w:t xml:space="preserve">project </w:t>
      </w:r>
      <w:r w:rsidRPr="009861A6">
        <w:rPr>
          <w:rFonts w:ascii="Arial" w:hAnsi="Arial" w:cs="Arial"/>
          <w:sz w:val="24"/>
          <w:szCs w:val="24"/>
          <w:lang w:val="en-US"/>
        </w:rPr>
        <w:t xml:space="preserve">includes the development of evidence-based </w:t>
      </w:r>
      <w:r w:rsidR="00EC3BD8">
        <w:rPr>
          <w:rFonts w:ascii="Arial" w:hAnsi="Arial" w:cs="Arial"/>
          <w:sz w:val="24"/>
          <w:szCs w:val="24"/>
          <w:lang w:val="en-US"/>
        </w:rPr>
        <w:t>resources</w:t>
      </w:r>
      <w:r w:rsidRPr="009861A6">
        <w:rPr>
          <w:rFonts w:ascii="Arial" w:hAnsi="Arial" w:cs="Arial"/>
          <w:sz w:val="24"/>
          <w:szCs w:val="24"/>
          <w:lang w:val="en-US"/>
        </w:rPr>
        <w:t xml:space="preserve"> for providers on approaches to preventing and tackling abu</w:t>
      </w:r>
      <w:r w:rsidR="00EC3BD8">
        <w:rPr>
          <w:rFonts w:ascii="Arial" w:hAnsi="Arial" w:cs="Arial"/>
          <w:sz w:val="24"/>
          <w:szCs w:val="24"/>
          <w:lang w:val="en-US"/>
        </w:rPr>
        <w:t>se. Related resources expand on</w:t>
      </w:r>
      <w:r w:rsidRPr="009861A6">
        <w:rPr>
          <w:rFonts w:ascii="Arial" w:hAnsi="Arial" w:cs="Arial"/>
          <w:sz w:val="24"/>
          <w:szCs w:val="24"/>
          <w:lang w:val="en-US"/>
        </w:rPr>
        <w:t xml:space="preserve"> topics such as safer recruitment practice and managing investigations. NDS has also produced a report based on service user perspectives about </w:t>
      </w:r>
      <w:r w:rsidR="003122B2">
        <w:rPr>
          <w:rFonts w:ascii="Arial" w:hAnsi="Arial" w:cs="Arial"/>
          <w:sz w:val="24"/>
          <w:szCs w:val="24"/>
          <w:lang w:val="en-US"/>
        </w:rPr>
        <w:t>what</w:t>
      </w:r>
      <w:r w:rsidRPr="009861A6">
        <w:rPr>
          <w:rFonts w:ascii="Arial" w:hAnsi="Arial" w:cs="Arial"/>
          <w:sz w:val="24"/>
          <w:szCs w:val="24"/>
          <w:lang w:val="en-US"/>
        </w:rPr>
        <w:t xml:space="preserve"> providers can </w:t>
      </w:r>
      <w:r w:rsidR="003122B2">
        <w:rPr>
          <w:rFonts w:ascii="Arial" w:hAnsi="Arial" w:cs="Arial"/>
          <w:sz w:val="24"/>
          <w:szCs w:val="24"/>
          <w:lang w:val="en-US"/>
        </w:rPr>
        <w:t>do</w:t>
      </w:r>
      <w:r w:rsidRPr="009861A6">
        <w:rPr>
          <w:rFonts w:ascii="Arial" w:hAnsi="Arial" w:cs="Arial"/>
          <w:sz w:val="24"/>
          <w:szCs w:val="24"/>
          <w:lang w:val="en-US"/>
        </w:rPr>
        <w:t xml:space="preserve"> to enhance the safety of people with disability in service environments.</w:t>
      </w:r>
    </w:p>
    <w:p w14:paraId="0681EDAD" w14:textId="77777777" w:rsidR="003F2B72" w:rsidRPr="00F33AA8" w:rsidRDefault="00F33AA8" w:rsidP="003F2B72">
      <w:pPr>
        <w:rPr>
          <w:rFonts w:ascii="Arial" w:hAnsi="Arial" w:cs="Arial"/>
          <w:sz w:val="24"/>
          <w:szCs w:val="24"/>
        </w:rPr>
      </w:pPr>
      <w:r w:rsidRPr="009861A6">
        <w:rPr>
          <w:rFonts w:ascii="Arial" w:hAnsi="Arial" w:cs="Arial"/>
          <w:sz w:val="24"/>
          <w:szCs w:val="24"/>
          <w:lang w:val="en-US"/>
        </w:rPr>
        <w:lastRenderedPageBreak/>
        <w:t xml:space="preserve">NDS </w:t>
      </w:r>
      <w:r w:rsidR="00EC3BD8">
        <w:rPr>
          <w:rFonts w:ascii="Arial" w:hAnsi="Arial" w:cs="Arial"/>
          <w:sz w:val="24"/>
          <w:szCs w:val="24"/>
          <w:lang w:val="en-US"/>
        </w:rPr>
        <w:t xml:space="preserve">has </w:t>
      </w:r>
      <w:r w:rsidRPr="009861A6">
        <w:rPr>
          <w:rFonts w:ascii="Arial" w:hAnsi="Arial" w:cs="Arial"/>
          <w:sz w:val="24"/>
          <w:szCs w:val="24"/>
          <w:lang w:val="en-US"/>
        </w:rPr>
        <w:t>issued a policy paper, ‘Improving safety screening for support workers’, which argues for mandatory criminal history checks</w:t>
      </w:r>
      <w:r>
        <w:rPr>
          <w:rFonts w:ascii="Arial" w:hAnsi="Arial" w:cs="Arial"/>
          <w:sz w:val="24"/>
          <w:szCs w:val="24"/>
          <w:lang w:val="en-US"/>
        </w:rPr>
        <w:t>,</w:t>
      </w:r>
      <w:r w:rsidRPr="009861A6">
        <w:rPr>
          <w:rFonts w:ascii="Arial" w:hAnsi="Arial" w:cs="Arial"/>
          <w:sz w:val="24"/>
          <w:szCs w:val="24"/>
          <w:lang w:val="en-US"/>
        </w:rPr>
        <w:t xml:space="preserve"> employer discretion and accountability to mitigate on-the-ground risks</w:t>
      </w:r>
      <w:r>
        <w:rPr>
          <w:rFonts w:ascii="Arial" w:hAnsi="Arial" w:cs="Arial"/>
          <w:sz w:val="24"/>
          <w:szCs w:val="24"/>
          <w:lang w:val="en-US"/>
        </w:rPr>
        <w:t>,</w:t>
      </w:r>
      <w:r w:rsidRPr="009861A6">
        <w:rPr>
          <w:rFonts w:ascii="Arial" w:hAnsi="Arial" w:cs="Arial"/>
          <w:sz w:val="24"/>
          <w:szCs w:val="24"/>
          <w:lang w:val="en-US"/>
        </w:rPr>
        <w:t xml:space="preserve"> and effective screening-out of support staff guilty of malpractice. </w:t>
      </w:r>
      <w:r w:rsidR="00EC3BD8">
        <w:rPr>
          <w:rFonts w:ascii="Arial" w:hAnsi="Arial" w:cs="Arial"/>
          <w:sz w:val="24"/>
          <w:szCs w:val="24"/>
          <w:lang w:val="en-US"/>
        </w:rPr>
        <w:t>It</w:t>
      </w:r>
      <w:r w:rsidRPr="009861A6">
        <w:rPr>
          <w:rFonts w:ascii="Arial" w:hAnsi="Arial" w:cs="Arial"/>
          <w:sz w:val="24"/>
          <w:szCs w:val="24"/>
          <w:lang w:val="en-US"/>
        </w:rPr>
        <w:t xml:space="preserve"> supports a consistent approach to worker screening across the community sector and </w:t>
      </w:r>
      <w:r w:rsidR="00B879AA">
        <w:rPr>
          <w:rFonts w:ascii="Arial" w:hAnsi="Arial" w:cs="Arial"/>
          <w:sz w:val="24"/>
          <w:szCs w:val="24"/>
          <w:lang w:val="en-US"/>
        </w:rPr>
        <w:t xml:space="preserve">the </w:t>
      </w:r>
      <w:r w:rsidRPr="009861A6">
        <w:rPr>
          <w:rFonts w:ascii="Arial" w:hAnsi="Arial" w:cs="Arial"/>
          <w:sz w:val="24"/>
          <w:szCs w:val="24"/>
          <w:lang w:val="en-US"/>
        </w:rPr>
        <w:t xml:space="preserve">jurisdictions. Safety screening of workers is one important tool in a broader framework of safeguards to reduce the risk of abuse, neglect, theft or any other harm to people with disability. </w:t>
      </w:r>
    </w:p>
    <w:p w14:paraId="4187CBFB" w14:textId="77777777" w:rsidR="007619E4" w:rsidRDefault="007619E4">
      <w:pPr>
        <w:rPr>
          <w:rFonts w:ascii="Arial" w:eastAsiaTheme="majorEastAsia" w:hAnsi="Arial" w:cs="Arial"/>
          <w:b/>
          <w:bCs/>
          <w:sz w:val="28"/>
          <w:szCs w:val="28"/>
        </w:rPr>
      </w:pPr>
      <w:r>
        <w:rPr>
          <w:rFonts w:ascii="Arial" w:hAnsi="Arial" w:cs="Arial"/>
        </w:rPr>
        <w:br w:type="page"/>
      </w:r>
    </w:p>
    <w:p w14:paraId="11A936A0" w14:textId="77777777" w:rsidR="00866FE9" w:rsidRPr="00BE4BD9" w:rsidRDefault="007619E4" w:rsidP="00143028">
      <w:pPr>
        <w:pStyle w:val="Heading1"/>
      </w:pPr>
      <w:bookmarkStart w:id="165" w:name="_Toc405797901"/>
      <w:r w:rsidRPr="00BE4BD9">
        <w:lastRenderedPageBreak/>
        <w:t xml:space="preserve">Employment </w:t>
      </w:r>
      <w:r w:rsidR="00953714">
        <w:t>s</w:t>
      </w:r>
      <w:r w:rsidR="003F2B72" w:rsidRPr="00BE4BD9">
        <w:t>ervices</w:t>
      </w:r>
      <w:bookmarkEnd w:id="165"/>
    </w:p>
    <w:p w14:paraId="23A154D2" w14:textId="77777777" w:rsidR="001B14A2" w:rsidRPr="001B14A2" w:rsidRDefault="001B14A2" w:rsidP="001F094B">
      <w:pPr>
        <w:pStyle w:val="Heading2"/>
      </w:pPr>
      <w:bookmarkStart w:id="166" w:name="_Toc402532493"/>
      <w:bookmarkStart w:id="167" w:name="_Toc402940541"/>
      <w:bookmarkStart w:id="168" w:name="_Toc403038251"/>
      <w:bookmarkStart w:id="169" w:name="_Toc403043445"/>
      <w:bookmarkStart w:id="170" w:name="_Toc403043529"/>
      <w:bookmarkStart w:id="171" w:name="_Toc403043613"/>
      <w:bookmarkStart w:id="172" w:name="_Toc403043703"/>
      <w:bookmarkStart w:id="173" w:name="_Toc403047807"/>
      <w:bookmarkStart w:id="174" w:name="_Toc403051783"/>
      <w:bookmarkStart w:id="175" w:name="_Toc403332110"/>
      <w:bookmarkStart w:id="176" w:name="_Toc403895993"/>
      <w:bookmarkStart w:id="177" w:name="_Toc403896060"/>
      <w:bookmarkStart w:id="178" w:name="_Toc403897092"/>
      <w:bookmarkStart w:id="179" w:name="_Toc403900506"/>
      <w:bookmarkStart w:id="180" w:name="_Toc403900606"/>
      <w:bookmarkStart w:id="181" w:name="_Toc403900678"/>
      <w:bookmarkStart w:id="182" w:name="_Toc403900980"/>
      <w:bookmarkStart w:id="183" w:name="_Toc404000321"/>
      <w:bookmarkStart w:id="184" w:name="_Toc404000410"/>
      <w:bookmarkStart w:id="185" w:name="_Toc404000596"/>
      <w:bookmarkStart w:id="186" w:name="_Toc404000662"/>
      <w:bookmarkStart w:id="187" w:name="_Toc404089629"/>
      <w:bookmarkStart w:id="188" w:name="_Toc404089694"/>
      <w:bookmarkStart w:id="189" w:name="_Toc404089759"/>
      <w:bookmarkStart w:id="190" w:name="_Toc404089872"/>
      <w:bookmarkStart w:id="191" w:name="_Toc404089936"/>
      <w:bookmarkStart w:id="192" w:name="_Toc403038252"/>
      <w:bookmarkStart w:id="193" w:name="_Toc403051784"/>
      <w:bookmarkStart w:id="194" w:name="_Toc40408993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B14A2">
        <w:t>Supported employment</w:t>
      </w:r>
      <w:bookmarkEnd w:id="192"/>
      <w:bookmarkEnd w:id="193"/>
      <w:bookmarkEnd w:id="194"/>
      <w:r w:rsidRPr="001B14A2">
        <w:t xml:space="preserve"> </w:t>
      </w:r>
    </w:p>
    <w:p w14:paraId="7F3FB4B5" w14:textId="77777777" w:rsidR="001B14A2" w:rsidRPr="001B14A2" w:rsidRDefault="001B14A2" w:rsidP="001B14A2">
      <w:pPr>
        <w:rPr>
          <w:rFonts w:ascii="Arial" w:hAnsi="Arial" w:cs="Arial"/>
          <w:bCs/>
          <w:sz w:val="24"/>
        </w:rPr>
      </w:pPr>
      <w:r w:rsidRPr="001B14A2">
        <w:rPr>
          <w:rFonts w:ascii="Arial" w:hAnsi="Arial" w:cs="Arial"/>
          <w:bCs/>
          <w:sz w:val="24"/>
        </w:rPr>
        <w:t xml:space="preserve">Australian Disability Enterprises (ADEs) are an important employment option for people with disability. They employ </w:t>
      </w:r>
      <w:r w:rsidR="003E6D5B">
        <w:rPr>
          <w:rFonts w:ascii="Arial" w:hAnsi="Arial" w:cs="Arial"/>
          <w:bCs/>
          <w:sz w:val="24"/>
        </w:rPr>
        <w:t xml:space="preserve">about </w:t>
      </w:r>
      <w:r w:rsidRPr="001B14A2">
        <w:rPr>
          <w:rFonts w:ascii="Arial" w:hAnsi="Arial" w:cs="Arial"/>
          <w:bCs/>
          <w:sz w:val="24"/>
        </w:rPr>
        <w:t>20,50</w:t>
      </w:r>
      <w:r w:rsidR="003E6D5B">
        <w:rPr>
          <w:rFonts w:ascii="Arial" w:hAnsi="Arial" w:cs="Arial"/>
          <w:bCs/>
          <w:sz w:val="24"/>
        </w:rPr>
        <w:t xml:space="preserve">0 people with severe disability, </w:t>
      </w:r>
      <w:r w:rsidR="0099770A">
        <w:rPr>
          <w:rFonts w:ascii="Arial" w:hAnsi="Arial" w:cs="Arial"/>
          <w:bCs/>
          <w:sz w:val="24"/>
        </w:rPr>
        <w:t>in addition to</w:t>
      </w:r>
      <w:r w:rsidR="003E6D5B">
        <w:rPr>
          <w:rFonts w:ascii="Arial" w:hAnsi="Arial" w:cs="Arial"/>
          <w:bCs/>
          <w:sz w:val="24"/>
        </w:rPr>
        <w:t xml:space="preserve"> </w:t>
      </w:r>
      <w:r w:rsidR="00604C45">
        <w:rPr>
          <w:rFonts w:ascii="Arial" w:hAnsi="Arial" w:cs="Arial"/>
          <w:bCs/>
          <w:sz w:val="24"/>
        </w:rPr>
        <w:t>around</w:t>
      </w:r>
      <w:r w:rsidRPr="001B14A2">
        <w:rPr>
          <w:rFonts w:ascii="Arial" w:hAnsi="Arial" w:cs="Arial"/>
          <w:bCs/>
          <w:sz w:val="24"/>
        </w:rPr>
        <w:t xml:space="preserve"> 5,</w:t>
      </w:r>
      <w:r w:rsidR="003E6D5B">
        <w:rPr>
          <w:rFonts w:ascii="Arial" w:hAnsi="Arial" w:cs="Arial"/>
          <w:bCs/>
          <w:sz w:val="24"/>
        </w:rPr>
        <w:t>000 support staff and managers.</w:t>
      </w:r>
    </w:p>
    <w:p w14:paraId="4A047B57" w14:textId="77777777" w:rsidR="001B14A2" w:rsidRPr="001B14A2" w:rsidRDefault="001B14A2" w:rsidP="001B14A2">
      <w:pPr>
        <w:rPr>
          <w:rFonts w:ascii="Arial" w:hAnsi="Arial" w:cs="Arial"/>
          <w:bCs/>
          <w:sz w:val="24"/>
        </w:rPr>
      </w:pPr>
      <w:r w:rsidRPr="001B14A2">
        <w:rPr>
          <w:rFonts w:ascii="Arial" w:hAnsi="Arial" w:cs="Arial"/>
          <w:bCs/>
          <w:sz w:val="24"/>
        </w:rPr>
        <w:t xml:space="preserve">The most common primary disability of supported employees is intellectual disability (68%), followed by psychiatric (12%) and physical disability (7%). The workforce is ageing and the average hours worked per week has decreased over the past </w:t>
      </w:r>
      <w:r>
        <w:rPr>
          <w:rFonts w:ascii="Arial" w:hAnsi="Arial" w:cs="Arial"/>
          <w:bCs/>
          <w:sz w:val="24"/>
        </w:rPr>
        <w:t>five</w:t>
      </w:r>
      <w:r w:rsidRPr="001B14A2">
        <w:rPr>
          <w:rFonts w:ascii="Arial" w:hAnsi="Arial" w:cs="Arial"/>
          <w:bCs/>
          <w:sz w:val="24"/>
        </w:rPr>
        <w:t xml:space="preserve"> years</w:t>
      </w:r>
      <w:r w:rsidR="00B55D81">
        <w:rPr>
          <w:rFonts w:ascii="Arial" w:hAnsi="Arial" w:cs="Arial"/>
          <w:bCs/>
          <w:sz w:val="24"/>
        </w:rPr>
        <w:t xml:space="preserve"> (Table 2)</w:t>
      </w:r>
      <w:r w:rsidRPr="001B14A2">
        <w:rPr>
          <w:rFonts w:ascii="Arial" w:hAnsi="Arial" w:cs="Arial"/>
          <w:bCs/>
          <w:sz w:val="24"/>
        </w:rPr>
        <w:t>.</w:t>
      </w:r>
    </w:p>
    <w:p w14:paraId="28FC8E8D" w14:textId="77777777" w:rsidR="001B14A2" w:rsidRPr="001B14A2" w:rsidRDefault="00E54DA4" w:rsidP="00447F2C">
      <w:pPr>
        <w:pStyle w:val="Subtitle"/>
      </w:pPr>
      <w:r>
        <w:t>Table 2</w:t>
      </w:r>
      <w:r w:rsidR="001B14A2">
        <w:t>: s</w:t>
      </w:r>
      <w:r w:rsidR="001B14A2" w:rsidRPr="001B14A2">
        <w:t>upported employee profile</w:t>
      </w:r>
    </w:p>
    <w:tbl>
      <w:tblPr>
        <w:tblW w:w="0" w:type="auto"/>
        <w:tblLook w:val="04A0" w:firstRow="1" w:lastRow="0" w:firstColumn="1" w:lastColumn="0" w:noHBand="0" w:noVBand="1"/>
      </w:tblPr>
      <w:tblGrid>
        <w:gridCol w:w="3402"/>
        <w:gridCol w:w="2835"/>
        <w:gridCol w:w="2835"/>
      </w:tblGrid>
      <w:tr w:rsidR="001B14A2" w:rsidRPr="001B14A2" w14:paraId="140ADC74" w14:textId="77777777" w:rsidTr="001B14A2">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BF577CF" w14:textId="77777777" w:rsidR="001B14A2" w:rsidRPr="001B14A2" w:rsidRDefault="001B14A2" w:rsidP="001B14A2">
            <w:pPr>
              <w:rPr>
                <w:rFonts w:ascii="Arial" w:hAnsi="Arial" w:cs="Arial"/>
                <w:bCs/>
                <w:sz w:val="24"/>
              </w:rPr>
            </w:pPr>
            <w:bookmarkStart w:id="195" w:name="Title_2"/>
            <w:bookmarkEnd w:id="195"/>
          </w:p>
        </w:tc>
        <w:tc>
          <w:tcPr>
            <w:tcW w:w="2835" w:type="dxa"/>
            <w:tcBorders>
              <w:top w:val="single" w:sz="4" w:space="0" w:color="auto"/>
              <w:left w:val="nil"/>
              <w:bottom w:val="single" w:sz="4" w:space="0" w:color="auto"/>
              <w:right w:val="single" w:sz="4" w:space="0" w:color="auto"/>
            </w:tcBorders>
            <w:shd w:val="clear" w:color="auto" w:fill="auto"/>
            <w:noWrap/>
          </w:tcPr>
          <w:p w14:paraId="13023012" w14:textId="77777777" w:rsidR="001B14A2" w:rsidRPr="001B14A2" w:rsidRDefault="001B14A2" w:rsidP="001B14A2">
            <w:pPr>
              <w:rPr>
                <w:rFonts w:ascii="Arial" w:hAnsi="Arial" w:cs="Arial"/>
                <w:b/>
                <w:bCs/>
                <w:sz w:val="24"/>
              </w:rPr>
            </w:pPr>
            <w:r w:rsidRPr="001B14A2">
              <w:rPr>
                <w:rFonts w:ascii="Arial" w:hAnsi="Arial" w:cs="Arial"/>
                <w:b/>
                <w:bCs/>
                <w:sz w:val="24"/>
              </w:rPr>
              <w:t>2014</w:t>
            </w:r>
          </w:p>
        </w:tc>
        <w:tc>
          <w:tcPr>
            <w:tcW w:w="2835" w:type="dxa"/>
            <w:tcBorders>
              <w:top w:val="single" w:sz="4" w:space="0" w:color="auto"/>
              <w:left w:val="nil"/>
              <w:bottom w:val="single" w:sz="4" w:space="0" w:color="auto"/>
              <w:right w:val="single" w:sz="4" w:space="0" w:color="auto"/>
            </w:tcBorders>
          </w:tcPr>
          <w:p w14:paraId="55FADD5B" w14:textId="77777777" w:rsidR="001B14A2" w:rsidRPr="001B14A2" w:rsidRDefault="001B14A2" w:rsidP="001B14A2">
            <w:pPr>
              <w:rPr>
                <w:rFonts w:ascii="Arial" w:hAnsi="Arial" w:cs="Arial"/>
                <w:b/>
                <w:bCs/>
                <w:sz w:val="24"/>
              </w:rPr>
            </w:pPr>
            <w:r w:rsidRPr="001B14A2">
              <w:rPr>
                <w:rFonts w:ascii="Arial" w:hAnsi="Arial" w:cs="Arial"/>
                <w:b/>
                <w:bCs/>
                <w:sz w:val="24"/>
              </w:rPr>
              <w:t>2009</w:t>
            </w:r>
          </w:p>
        </w:tc>
      </w:tr>
      <w:tr w:rsidR="001B14A2" w:rsidRPr="001B14A2" w14:paraId="5DA26347" w14:textId="77777777" w:rsidTr="001B14A2">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7FB8134C" w14:textId="77777777" w:rsidR="001B14A2" w:rsidRPr="001B14A2" w:rsidRDefault="007D661E" w:rsidP="001B14A2">
            <w:pPr>
              <w:rPr>
                <w:rFonts w:ascii="Arial" w:hAnsi="Arial" w:cs="Arial"/>
                <w:b/>
                <w:bCs/>
                <w:sz w:val="24"/>
              </w:rPr>
            </w:pPr>
            <w:r>
              <w:rPr>
                <w:rFonts w:ascii="Arial" w:hAnsi="Arial" w:cs="Arial"/>
                <w:b/>
                <w:bCs/>
                <w:sz w:val="24"/>
              </w:rPr>
              <w:t xml:space="preserve">Average age </w:t>
            </w:r>
          </w:p>
        </w:tc>
        <w:tc>
          <w:tcPr>
            <w:tcW w:w="2835" w:type="dxa"/>
            <w:tcBorders>
              <w:top w:val="single" w:sz="4" w:space="0" w:color="auto"/>
              <w:left w:val="nil"/>
              <w:bottom w:val="single" w:sz="4" w:space="0" w:color="auto"/>
              <w:right w:val="single" w:sz="4" w:space="0" w:color="auto"/>
            </w:tcBorders>
            <w:shd w:val="clear" w:color="auto" w:fill="auto"/>
            <w:noWrap/>
            <w:hideMark/>
          </w:tcPr>
          <w:p w14:paraId="53C93D8C" w14:textId="77777777" w:rsidR="001B14A2" w:rsidRPr="001B14A2" w:rsidRDefault="001B14A2" w:rsidP="001B14A2">
            <w:pPr>
              <w:rPr>
                <w:rFonts w:ascii="Arial" w:hAnsi="Arial" w:cs="Arial"/>
                <w:bCs/>
                <w:sz w:val="24"/>
              </w:rPr>
            </w:pPr>
            <w:r w:rsidRPr="001B14A2">
              <w:rPr>
                <w:rFonts w:ascii="Arial" w:hAnsi="Arial" w:cs="Arial"/>
                <w:bCs/>
                <w:sz w:val="24"/>
              </w:rPr>
              <w:t>40</w:t>
            </w:r>
          </w:p>
        </w:tc>
        <w:tc>
          <w:tcPr>
            <w:tcW w:w="2835" w:type="dxa"/>
            <w:tcBorders>
              <w:top w:val="single" w:sz="4" w:space="0" w:color="auto"/>
              <w:left w:val="nil"/>
              <w:bottom w:val="single" w:sz="4" w:space="0" w:color="auto"/>
              <w:right w:val="single" w:sz="4" w:space="0" w:color="auto"/>
            </w:tcBorders>
          </w:tcPr>
          <w:p w14:paraId="6A4B1646" w14:textId="77777777" w:rsidR="001B14A2" w:rsidRPr="001B14A2" w:rsidRDefault="001B14A2" w:rsidP="001B14A2">
            <w:pPr>
              <w:rPr>
                <w:rFonts w:ascii="Arial" w:hAnsi="Arial" w:cs="Arial"/>
                <w:bCs/>
                <w:sz w:val="24"/>
              </w:rPr>
            </w:pPr>
            <w:r w:rsidRPr="001B14A2">
              <w:rPr>
                <w:rFonts w:ascii="Arial" w:hAnsi="Arial" w:cs="Arial"/>
                <w:bCs/>
                <w:sz w:val="24"/>
              </w:rPr>
              <w:t>39</w:t>
            </w:r>
          </w:p>
        </w:tc>
      </w:tr>
      <w:tr w:rsidR="001B14A2" w:rsidRPr="001B14A2" w14:paraId="7CC80107" w14:textId="77777777" w:rsidTr="001B14A2">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9C7918E" w14:textId="77777777" w:rsidR="001B14A2" w:rsidRPr="001B14A2" w:rsidRDefault="001B14A2" w:rsidP="001B14A2">
            <w:pPr>
              <w:rPr>
                <w:rFonts w:ascii="Arial" w:hAnsi="Arial" w:cs="Arial"/>
                <w:b/>
                <w:bCs/>
                <w:sz w:val="24"/>
              </w:rPr>
            </w:pPr>
            <w:r w:rsidRPr="001B14A2">
              <w:rPr>
                <w:rFonts w:ascii="Arial" w:hAnsi="Arial" w:cs="Arial"/>
                <w:b/>
                <w:bCs/>
                <w:sz w:val="24"/>
              </w:rPr>
              <w:t>Supported employees aged 65+</w:t>
            </w:r>
          </w:p>
        </w:tc>
        <w:tc>
          <w:tcPr>
            <w:tcW w:w="2835" w:type="dxa"/>
            <w:tcBorders>
              <w:top w:val="single" w:sz="4" w:space="0" w:color="auto"/>
              <w:left w:val="nil"/>
              <w:bottom w:val="single" w:sz="4" w:space="0" w:color="auto"/>
              <w:right w:val="single" w:sz="4" w:space="0" w:color="auto"/>
            </w:tcBorders>
            <w:shd w:val="clear" w:color="auto" w:fill="auto"/>
            <w:noWrap/>
          </w:tcPr>
          <w:p w14:paraId="3827CA9B" w14:textId="77777777" w:rsidR="001B14A2" w:rsidRPr="001B14A2" w:rsidRDefault="001B14A2" w:rsidP="001B14A2">
            <w:pPr>
              <w:rPr>
                <w:rFonts w:ascii="Arial" w:hAnsi="Arial" w:cs="Arial"/>
                <w:bCs/>
                <w:sz w:val="24"/>
              </w:rPr>
            </w:pPr>
            <w:r w:rsidRPr="001B14A2">
              <w:rPr>
                <w:rFonts w:ascii="Arial" w:hAnsi="Arial" w:cs="Arial"/>
                <w:bCs/>
                <w:sz w:val="24"/>
              </w:rPr>
              <w:t>628 (3% of workforce)</w:t>
            </w:r>
          </w:p>
        </w:tc>
        <w:tc>
          <w:tcPr>
            <w:tcW w:w="2835" w:type="dxa"/>
            <w:tcBorders>
              <w:top w:val="single" w:sz="4" w:space="0" w:color="auto"/>
              <w:left w:val="nil"/>
              <w:bottom w:val="single" w:sz="4" w:space="0" w:color="auto"/>
              <w:right w:val="single" w:sz="4" w:space="0" w:color="auto"/>
            </w:tcBorders>
          </w:tcPr>
          <w:p w14:paraId="699463DD" w14:textId="77777777" w:rsidR="001B14A2" w:rsidRPr="001B14A2" w:rsidRDefault="001B14A2" w:rsidP="001B14A2">
            <w:pPr>
              <w:rPr>
                <w:rFonts w:ascii="Arial" w:hAnsi="Arial" w:cs="Arial"/>
                <w:bCs/>
                <w:sz w:val="24"/>
              </w:rPr>
            </w:pPr>
            <w:r w:rsidRPr="001B14A2">
              <w:rPr>
                <w:rFonts w:ascii="Arial" w:hAnsi="Arial" w:cs="Arial"/>
                <w:bCs/>
                <w:sz w:val="24"/>
              </w:rPr>
              <w:t>348 (1.5% of workforce)</w:t>
            </w:r>
          </w:p>
        </w:tc>
      </w:tr>
      <w:tr w:rsidR="001B14A2" w:rsidRPr="001B14A2" w14:paraId="0333E2E8" w14:textId="77777777" w:rsidTr="001B14A2">
        <w:trPr>
          <w:trHeight w:val="288"/>
        </w:trPr>
        <w:tc>
          <w:tcPr>
            <w:tcW w:w="3402" w:type="dxa"/>
            <w:tcBorders>
              <w:top w:val="nil"/>
              <w:left w:val="single" w:sz="4" w:space="0" w:color="auto"/>
              <w:bottom w:val="single" w:sz="4" w:space="0" w:color="auto"/>
              <w:right w:val="single" w:sz="4" w:space="0" w:color="auto"/>
            </w:tcBorders>
            <w:shd w:val="clear" w:color="auto" w:fill="auto"/>
            <w:noWrap/>
            <w:hideMark/>
          </w:tcPr>
          <w:p w14:paraId="1FDC7164" w14:textId="77777777" w:rsidR="001B14A2" w:rsidRPr="001B14A2" w:rsidRDefault="001B14A2" w:rsidP="001B14A2">
            <w:pPr>
              <w:rPr>
                <w:rFonts w:ascii="Arial" w:hAnsi="Arial" w:cs="Arial"/>
                <w:b/>
                <w:bCs/>
                <w:sz w:val="24"/>
              </w:rPr>
            </w:pPr>
            <w:r w:rsidRPr="001B14A2">
              <w:rPr>
                <w:rFonts w:ascii="Arial" w:hAnsi="Arial" w:cs="Arial"/>
                <w:b/>
                <w:bCs/>
                <w:sz w:val="24"/>
              </w:rPr>
              <w:t>Supported employees aged 50+</w:t>
            </w:r>
          </w:p>
        </w:tc>
        <w:tc>
          <w:tcPr>
            <w:tcW w:w="2835" w:type="dxa"/>
            <w:tcBorders>
              <w:top w:val="nil"/>
              <w:left w:val="nil"/>
              <w:bottom w:val="single" w:sz="4" w:space="0" w:color="auto"/>
              <w:right w:val="single" w:sz="4" w:space="0" w:color="auto"/>
            </w:tcBorders>
            <w:shd w:val="clear" w:color="auto" w:fill="auto"/>
            <w:noWrap/>
            <w:hideMark/>
          </w:tcPr>
          <w:p w14:paraId="66F6C8F1" w14:textId="77777777" w:rsidR="001B14A2" w:rsidRPr="001B14A2" w:rsidRDefault="001B14A2" w:rsidP="001B14A2">
            <w:pPr>
              <w:rPr>
                <w:rFonts w:ascii="Arial" w:hAnsi="Arial" w:cs="Arial"/>
                <w:bCs/>
                <w:sz w:val="24"/>
              </w:rPr>
            </w:pPr>
            <w:r w:rsidRPr="001B14A2">
              <w:rPr>
                <w:rFonts w:ascii="Arial" w:hAnsi="Arial" w:cs="Arial"/>
                <w:bCs/>
                <w:sz w:val="24"/>
              </w:rPr>
              <w:t>6,407 (31% of workforce)</w:t>
            </w:r>
          </w:p>
        </w:tc>
        <w:tc>
          <w:tcPr>
            <w:tcW w:w="2835" w:type="dxa"/>
            <w:tcBorders>
              <w:top w:val="nil"/>
              <w:left w:val="nil"/>
              <w:bottom w:val="single" w:sz="4" w:space="0" w:color="auto"/>
              <w:right w:val="single" w:sz="4" w:space="0" w:color="auto"/>
            </w:tcBorders>
          </w:tcPr>
          <w:p w14:paraId="2487A78F" w14:textId="77777777" w:rsidR="001B14A2" w:rsidRPr="001B14A2" w:rsidRDefault="001B14A2" w:rsidP="001B14A2">
            <w:pPr>
              <w:rPr>
                <w:rFonts w:ascii="Arial" w:hAnsi="Arial" w:cs="Arial"/>
                <w:bCs/>
                <w:sz w:val="24"/>
              </w:rPr>
            </w:pPr>
            <w:r w:rsidRPr="001B14A2">
              <w:rPr>
                <w:rFonts w:ascii="Arial" w:hAnsi="Arial" w:cs="Arial"/>
                <w:bCs/>
                <w:sz w:val="24"/>
              </w:rPr>
              <w:t>5,432 (24% of workforce)</w:t>
            </w:r>
          </w:p>
        </w:tc>
      </w:tr>
      <w:tr w:rsidR="001B14A2" w:rsidRPr="001B14A2" w14:paraId="58ECE9C1" w14:textId="77777777" w:rsidTr="001B14A2">
        <w:trPr>
          <w:trHeight w:val="288"/>
        </w:trPr>
        <w:tc>
          <w:tcPr>
            <w:tcW w:w="3402" w:type="dxa"/>
            <w:tcBorders>
              <w:top w:val="nil"/>
              <w:left w:val="single" w:sz="4" w:space="0" w:color="auto"/>
              <w:bottom w:val="single" w:sz="4" w:space="0" w:color="auto"/>
              <w:right w:val="single" w:sz="4" w:space="0" w:color="auto"/>
            </w:tcBorders>
            <w:shd w:val="clear" w:color="auto" w:fill="auto"/>
            <w:noWrap/>
            <w:hideMark/>
          </w:tcPr>
          <w:p w14:paraId="78949C78" w14:textId="77777777" w:rsidR="001B14A2" w:rsidRPr="001B14A2" w:rsidRDefault="001B14A2" w:rsidP="001B14A2">
            <w:pPr>
              <w:rPr>
                <w:rFonts w:ascii="Arial" w:hAnsi="Arial" w:cs="Arial"/>
                <w:b/>
                <w:bCs/>
                <w:sz w:val="24"/>
              </w:rPr>
            </w:pPr>
            <w:r w:rsidRPr="001B14A2">
              <w:rPr>
                <w:rFonts w:ascii="Arial" w:hAnsi="Arial" w:cs="Arial"/>
                <w:b/>
                <w:bCs/>
                <w:sz w:val="24"/>
              </w:rPr>
              <w:t>Average weekly wage</w:t>
            </w:r>
          </w:p>
        </w:tc>
        <w:tc>
          <w:tcPr>
            <w:tcW w:w="2835" w:type="dxa"/>
            <w:tcBorders>
              <w:top w:val="nil"/>
              <w:left w:val="nil"/>
              <w:bottom w:val="single" w:sz="4" w:space="0" w:color="auto"/>
              <w:right w:val="single" w:sz="4" w:space="0" w:color="auto"/>
            </w:tcBorders>
            <w:shd w:val="clear" w:color="auto" w:fill="auto"/>
            <w:noWrap/>
            <w:hideMark/>
          </w:tcPr>
          <w:p w14:paraId="78439EA7" w14:textId="77777777" w:rsidR="001B14A2" w:rsidRPr="001B14A2" w:rsidRDefault="001B14A2" w:rsidP="001B14A2">
            <w:pPr>
              <w:rPr>
                <w:rFonts w:ascii="Arial" w:hAnsi="Arial" w:cs="Arial"/>
                <w:bCs/>
                <w:sz w:val="24"/>
              </w:rPr>
            </w:pPr>
            <w:r w:rsidRPr="001B14A2">
              <w:rPr>
                <w:rFonts w:ascii="Arial" w:hAnsi="Arial" w:cs="Arial"/>
                <w:bCs/>
                <w:sz w:val="24"/>
              </w:rPr>
              <w:t>$102</w:t>
            </w:r>
          </w:p>
        </w:tc>
        <w:tc>
          <w:tcPr>
            <w:tcW w:w="2835" w:type="dxa"/>
            <w:tcBorders>
              <w:top w:val="nil"/>
              <w:left w:val="nil"/>
              <w:bottom w:val="single" w:sz="4" w:space="0" w:color="auto"/>
              <w:right w:val="single" w:sz="4" w:space="0" w:color="auto"/>
            </w:tcBorders>
          </w:tcPr>
          <w:p w14:paraId="552A7590" w14:textId="77777777" w:rsidR="001B14A2" w:rsidRPr="001B14A2" w:rsidRDefault="001B14A2" w:rsidP="001B14A2">
            <w:pPr>
              <w:rPr>
                <w:rFonts w:ascii="Arial" w:hAnsi="Arial" w:cs="Arial"/>
                <w:bCs/>
                <w:sz w:val="24"/>
              </w:rPr>
            </w:pPr>
            <w:r w:rsidRPr="001B14A2">
              <w:rPr>
                <w:rFonts w:ascii="Arial" w:hAnsi="Arial" w:cs="Arial"/>
                <w:bCs/>
                <w:sz w:val="24"/>
              </w:rPr>
              <w:t>$90.25</w:t>
            </w:r>
          </w:p>
        </w:tc>
      </w:tr>
      <w:tr w:rsidR="001B14A2" w:rsidRPr="001B14A2" w14:paraId="511FABF8" w14:textId="77777777" w:rsidTr="001B14A2">
        <w:trPr>
          <w:trHeight w:val="288"/>
        </w:trPr>
        <w:tc>
          <w:tcPr>
            <w:tcW w:w="3402" w:type="dxa"/>
            <w:tcBorders>
              <w:top w:val="nil"/>
              <w:left w:val="single" w:sz="4" w:space="0" w:color="auto"/>
              <w:bottom w:val="single" w:sz="4" w:space="0" w:color="auto"/>
              <w:right w:val="single" w:sz="4" w:space="0" w:color="auto"/>
            </w:tcBorders>
            <w:shd w:val="clear" w:color="auto" w:fill="auto"/>
            <w:noWrap/>
            <w:hideMark/>
          </w:tcPr>
          <w:p w14:paraId="13D08627" w14:textId="77777777" w:rsidR="001B14A2" w:rsidRPr="001B14A2" w:rsidRDefault="001B14A2" w:rsidP="001B14A2">
            <w:pPr>
              <w:rPr>
                <w:rFonts w:ascii="Arial" w:hAnsi="Arial" w:cs="Arial"/>
                <w:b/>
                <w:bCs/>
                <w:sz w:val="24"/>
              </w:rPr>
            </w:pPr>
            <w:r w:rsidRPr="001B14A2">
              <w:rPr>
                <w:rFonts w:ascii="Arial" w:hAnsi="Arial" w:cs="Arial"/>
                <w:b/>
                <w:bCs/>
                <w:sz w:val="24"/>
              </w:rPr>
              <w:t>Average hourly wage rate</w:t>
            </w:r>
          </w:p>
        </w:tc>
        <w:tc>
          <w:tcPr>
            <w:tcW w:w="2835" w:type="dxa"/>
            <w:tcBorders>
              <w:top w:val="nil"/>
              <w:left w:val="nil"/>
              <w:bottom w:val="single" w:sz="4" w:space="0" w:color="auto"/>
              <w:right w:val="single" w:sz="4" w:space="0" w:color="auto"/>
            </w:tcBorders>
            <w:shd w:val="clear" w:color="auto" w:fill="auto"/>
            <w:noWrap/>
            <w:hideMark/>
          </w:tcPr>
          <w:p w14:paraId="41B7555E" w14:textId="77777777" w:rsidR="001B14A2" w:rsidRPr="001B14A2" w:rsidRDefault="001B14A2" w:rsidP="001B14A2">
            <w:pPr>
              <w:rPr>
                <w:rFonts w:ascii="Arial" w:hAnsi="Arial" w:cs="Arial"/>
                <w:bCs/>
                <w:sz w:val="24"/>
              </w:rPr>
            </w:pPr>
            <w:r w:rsidRPr="001B14A2">
              <w:rPr>
                <w:rFonts w:ascii="Arial" w:hAnsi="Arial" w:cs="Arial"/>
                <w:bCs/>
                <w:sz w:val="24"/>
              </w:rPr>
              <w:t>$4.48</w:t>
            </w:r>
          </w:p>
        </w:tc>
        <w:tc>
          <w:tcPr>
            <w:tcW w:w="2835" w:type="dxa"/>
            <w:tcBorders>
              <w:top w:val="nil"/>
              <w:left w:val="nil"/>
              <w:bottom w:val="single" w:sz="4" w:space="0" w:color="auto"/>
              <w:right w:val="single" w:sz="4" w:space="0" w:color="auto"/>
            </w:tcBorders>
          </w:tcPr>
          <w:p w14:paraId="3152D0C4" w14:textId="77777777" w:rsidR="001B14A2" w:rsidRPr="001B14A2" w:rsidRDefault="001B14A2" w:rsidP="001B14A2">
            <w:pPr>
              <w:rPr>
                <w:rFonts w:ascii="Arial" w:hAnsi="Arial" w:cs="Arial"/>
                <w:bCs/>
                <w:sz w:val="24"/>
              </w:rPr>
            </w:pPr>
            <w:r w:rsidRPr="001B14A2">
              <w:rPr>
                <w:rFonts w:ascii="Arial" w:hAnsi="Arial" w:cs="Arial"/>
                <w:bCs/>
                <w:sz w:val="24"/>
              </w:rPr>
              <w:t>$3.61</w:t>
            </w:r>
          </w:p>
        </w:tc>
      </w:tr>
      <w:tr w:rsidR="001B14A2" w:rsidRPr="001B14A2" w14:paraId="48447282" w14:textId="77777777" w:rsidTr="001B14A2">
        <w:trPr>
          <w:trHeight w:val="288"/>
        </w:trPr>
        <w:tc>
          <w:tcPr>
            <w:tcW w:w="3402" w:type="dxa"/>
            <w:tcBorders>
              <w:top w:val="nil"/>
              <w:left w:val="single" w:sz="4" w:space="0" w:color="auto"/>
              <w:bottom w:val="single" w:sz="4" w:space="0" w:color="auto"/>
              <w:right w:val="single" w:sz="4" w:space="0" w:color="auto"/>
            </w:tcBorders>
            <w:shd w:val="clear" w:color="auto" w:fill="auto"/>
            <w:noWrap/>
            <w:hideMark/>
          </w:tcPr>
          <w:p w14:paraId="47152ED9" w14:textId="77777777" w:rsidR="001B14A2" w:rsidRPr="001B14A2" w:rsidRDefault="001B14A2" w:rsidP="001B14A2">
            <w:pPr>
              <w:rPr>
                <w:rFonts w:ascii="Arial" w:hAnsi="Arial" w:cs="Arial"/>
                <w:b/>
                <w:bCs/>
                <w:sz w:val="24"/>
              </w:rPr>
            </w:pPr>
            <w:r w:rsidRPr="001B14A2">
              <w:rPr>
                <w:rFonts w:ascii="Arial" w:hAnsi="Arial" w:cs="Arial"/>
                <w:b/>
                <w:bCs/>
                <w:sz w:val="24"/>
              </w:rPr>
              <w:t>Average hours worked per week</w:t>
            </w:r>
          </w:p>
        </w:tc>
        <w:tc>
          <w:tcPr>
            <w:tcW w:w="2835" w:type="dxa"/>
            <w:tcBorders>
              <w:top w:val="nil"/>
              <w:left w:val="nil"/>
              <w:bottom w:val="single" w:sz="4" w:space="0" w:color="auto"/>
              <w:right w:val="single" w:sz="4" w:space="0" w:color="auto"/>
            </w:tcBorders>
            <w:shd w:val="clear" w:color="auto" w:fill="auto"/>
            <w:noWrap/>
            <w:hideMark/>
          </w:tcPr>
          <w:p w14:paraId="12B307F0" w14:textId="77777777" w:rsidR="001B14A2" w:rsidRPr="001B14A2" w:rsidRDefault="001B14A2" w:rsidP="001B14A2">
            <w:pPr>
              <w:rPr>
                <w:rFonts w:ascii="Arial" w:hAnsi="Arial" w:cs="Arial"/>
                <w:bCs/>
                <w:sz w:val="24"/>
              </w:rPr>
            </w:pPr>
            <w:r w:rsidRPr="001B14A2">
              <w:rPr>
                <w:rFonts w:ascii="Arial" w:hAnsi="Arial" w:cs="Arial"/>
                <w:bCs/>
                <w:sz w:val="24"/>
              </w:rPr>
              <w:t>22.8</w:t>
            </w:r>
          </w:p>
        </w:tc>
        <w:tc>
          <w:tcPr>
            <w:tcW w:w="2835" w:type="dxa"/>
            <w:tcBorders>
              <w:top w:val="nil"/>
              <w:left w:val="nil"/>
              <w:bottom w:val="single" w:sz="4" w:space="0" w:color="auto"/>
              <w:right w:val="single" w:sz="4" w:space="0" w:color="auto"/>
            </w:tcBorders>
          </w:tcPr>
          <w:p w14:paraId="79443223" w14:textId="77777777" w:rsidR="001B14A2" w:rsidRPr="001B14A2" w:rsidRDefault="001B14A2" w:rsidP="001B14A2">
            <w:pPr>
              <w:rPr>
                <w:rFonts w:ascii="Arial" w:hAnsi="Arial" w:cs="Arial"/>
                <w:bCs/>
                <w:sz w:val="24"/>
              </w:rPr>
            </w:pPr>
            <w:r w:rsidRPr="001B14A2">
              <w:rPr>
                <w:rFonts w:ascii="Arial" w:hAnsi="Arial" w:cs="Arial"/>
                <w:bCs/>
                <w:sz w:val="24"/>
              </w:rPr>
              <w:t>25</w:t>
            </w:r>
          </w:p>
        </w:tc>
      </w:tr>
    </w:tbl>
    <w:p w14:paraId="04E9C091" w14:textId="77777777" w:rsidR="001B14A2" w:rsidRPr="001B14A2" w:rsidRDefault="001B14A2" w:rsidP="001B14A2">
      <w:pPr>
        <w:rPr>
          <w:rFonts w:ascii="Arial" w:hAnsi="Arial" w:cs="Arial"/>
          <w:b/>
          <w:bCs/>
          <w:sz w:val="24"/>
        </w:rPr>
      </w:pPr>
    </w:p>
    <w:p w14:paraId="168D3E44" w14:textId="77777777" w:rsidR="000F0F71" w:rsidRPr="001B14A2" w:rsidRDefault="000F0F71" w:rsidP="000F0F71">
      <w:pPr>
        <w:rPr>
          <w:rFonts w:ascii="Arial" w:hAnsi="Arial" w:cs="Arial"/>
          <w:bCs/>
          <w:sz w:val="24"/>
        </w:rPr>
      </w:pPr>
      <w:r w:rsidRPr="001B14A2">
        <w:rPr>
          <w:rFonts w:ascii="Arial" w:hAnsi="Arial" w:cs="Arial"/>
          <w:bCs/>
          <w:sz w:val="24"/>
        </w:rPr>
        <w:t xml:space="preserve">The past year has been a challenging one for </w:t>
      </w:r>
      <w:r>
        <w:rPr>
          <w:rFonts w:ascii="Arial" w:hAnsi="Arial" w:cs="Arial"/>
          <w:bCs/>
          <w:sz w:val="24"/>
        </w:rPr>
        <w:t>ADEs</w:t>
      </w:r>
      <w:r w:rsidRPr="001B14A2">
        <w:rPr>
          <w:rFonts w:ascii="Arial" w:hAnsi="Arial" w:cs="Arial"/>
          <w:bCs/>
          <w:sz w:val="24"/>
        </w:rPr>
        <w:t>. As well as experiencing tight economic conditions, they have faced legal and industrial actions</w:t>
      </w:r>
      <w:r>
        <w:rPr>
          <w:rFonts w:ascii="Arial" w:hAnsi="Arial" w:cs="Arial"/>
          <w:bCs/>
          <w:sz w:val="24"/>
        </w:rPr>
        <w:t>. In the year ahead, ADES</w:t>
      </w:r>
      <w:r w:rsidRPr="001B14A2">
        <w:rPr>
          <w:rFonts w:ascii="Arial" w:hAnsi="Arial" w:cs="Arial"/>
          <w:bCs/>
          <w:sz w:val="24"/>
        </w:rPr>
        <w:t xml:space="preserve"> </w:t>
      </w:r>
      <w:r>
        <w:rPr>
          <w:rFonts w:ascii="Arial" w:hAnsi="Arial" w:cs="Arial"/>
          <w:bCs/>
          <w:sz w:val="24"/>
        </w:rPr>
        <w:t xml:space="preserve">will be </w:t>
      </w:r>
      <w:r w:rsidRPr="001B14A2">
        <w:rPr>
          <w:rFonts w:ascii="Arial" w:hAnsi="Arial" w:cs="Arial"/>
          <w:bCs/>
          <w:sz w:val="24"/>
        </w:rPr>
        <w:t>considering the future impact of the NDIS on their services</w:t>
      </w:r>
      <w:r>
        <w:rPr>
          <w:rFonts w:ascii="Arial" w:hAnsi="Arial" w:cs="Arial"/>
          <w:bCs/>
          <w:sz w:val="24"/>
        </w:rPr>
        <w:t>,</w:t>
      </w:r>
      <w:r w:rsidRPr="001B14A2">
        <w:rPr>
          <w:rFonts w:ascii="Arial" w:hAnsi="Arial" w:cs="Arial"/>
          <w:bCs/>
          <w:sz w:val="24"/>
        </w:rPr>
        <w:t xml:space="preserve"> and </w:t>
      </w:r>
      <w:r>
        <w:rPr>
          <w:rFonts w:ascii="Arial" w:hAnsi="Arial" w:cs="Arial"/>
          <w:bCs/>
          <w:sz w:val="24"/>
        </w:rPr>
        <w:t xml:space="preserve">they </w:t>
      </w:r>
      <w:r w:rsidRPr="001B14A2">
        <w:rPr>
          <w:rFonts w:ascii="Arial" w:hAnsi="Arial" w:cs="Arial"/>
          <w:bCs/>
          <w:sz w:val="24"/>
        </w:rPr>
        <w:t>may be subject to a</w:t>
      </w:r>
      <w:r>
        <w:rPr>
          <w:rFonts w:ascii="Arial" w:hAnsi="Arial" w:cs="Arial"/>
          <w:bCs/>
          <w:sz w:val="24"/>
        </w:rPr>
        <w:t>n open</w:t>
      </w:r>
      <w:r w:rsidRPr="001B14A2">
        <w:rPr>
          <w:rFonts w:ascii="Arial" w:hAnsi="Arial" w:cs="Arial"/>
          <w:bCs/>
          <w:sz w:val="24"/>
        </w:rPr>
        <w:t xml:space="preserve"> </w:t>
      </w:r>
      <w:r>
        <w:rPr>
          <w:rFonts w:ascii="Arial" w:hAnsi="Arial" w:cs="Arial"/>
          <w:bCs/>
          <w:sz w:val="24"/>
        </w:rPr>
        <w:t>tender process, although NDS is presenting the Government with strong arguments against this</w:t>
      </w:r>
      <w:r w:rsidRPr="001B14A2">
        <w:rPr>
          <w:rFonts w:ascii="Arial" w:hAnsi="Arial" w:cs="Arial"/>
          <w:bCs/>
          <w:sz w:val="24"/>
        </w:rPr>
        <w:t>.</w:t>
      </w:r>
    </w:p>
    <w:p w14:paraId="439A6409" w14:textId="77777777" w:rsidR="001B14A2" w:rsidRPr="001B14A2" w:rsidRDefault="001B14A2" w:rsidP="001B14A2">
      <w:pPr>
        <w:rPr>
          <w:rFonts w:ascii="Arial" w:hAnsi="Arial" w:cs="Arial"/>
          <w:bCs/>
          <w:sz w:val="24"/>
        </w:rPr>
      </w:pPr>
      <w:r w:rsidRPr="001B14A2">
        <w:rPr>
          <w:rFonts w:ascii="Arial" w:hAnsi="Arial" w:cs="Arial"/>
          <w:bCs/>
          <w:sz w:val="24"/>
        </w:rPr>
        <w:t xml:space="preserve">A recent NDS survey on </w:t>
      </w:r>
      <w:r w:rsidR="007513B7">
        <w:rPr>
          <w:rFonts w:ascii="Arial" w:hAnsi="Arial" w:cs="Arial"/>
          <w:bCs/>
          <w:sz w:val="24"/>
        </w:rPr>
        <w:t>ADEs’</w:t>
      </w:r>
      <w:r w:rsidRPr="001B14A2">
        <w:rPr>
          <w:rFonts w:ascii="Arial" w:hAnsi="Arial" w:cs="Arial"/>
          <w:bCs/>
          <w:sz w:val="24"/>
        </w:rPr>
        <w:t xml:space="preserve"> financial performance in 2013-14 has revealed that about 50% appear to be struggling financially. Based on the 74 responses received:</w:t>
      </w:r>
    </w:p>
    <w:p w14:paraId="14FC82FE" w14:textId="77777777" w:rsidR="001B14A2" w:rsidRPr="001B14A2" w:rsidRDefault="00447F2C" w:rsidP="00447F2C">
      <w:pPr>
        <w:numPr>
          <w:ilvl w:val="0"/>
          <w:numId w:val="13"/>
        </w:numPr>
        <w:ind w:left="1077" w:hanging="357"/>
        <w:contextualSpacing/>
        <w:rPr>
          <w:rFonts w:ascii="Arial" w:hAnsi="Arial" w:cs="Arial"/>
          <w:bCs/>
          <w:sz w:val="24"/>
        </w:rPr>
      </w:pPr>
      <w:r>
        <w:rPr>
          <w:rFonts w:ascii="Arial" w:hAnsi="Arial" w:cs="Arial"/>
          <w:bCs/>
          <w:sz w:val="24"/>
        </w:rPr>
        <w:t xml:space="preserve">ADEs </w:t>
      </w:r>
      <w:r w:rsidR="001B14A2" w:rsidRPr="001B14A2">
        <w:rPr>
          <w:rFonts w:ascii="Arial" w:hAnsi="Arial" w:cs="Arial"/>
          <w:bCs/>
          <w:sz w:val="24"/>
        </w:rPr>
        <w:t>had a combined income of $365 million</w:t>
      </w:r>
    </w:p>
    <w:p w14:paraId="3639F5F5" w14:textId="77777777" w:rsidR="001B14A2" w:rsidRPr="001B14A2" w:rsidRDefault="001B14A2" w:rsidP="00447F2C">
      <w:pPr>
        <w:numPr>
          <w:ilvl w:val="0"/>
          <w:numId w:val="13"/>
        </w:numPr>
        <w:ind w:left="1077" w:hanging="357"/>
        <w:contextualSpacing/>
        <w:rPr>
          <w:rFonts w:ascii="Arial" w:hAnsi="Arial" w:cs="Arial"/>
          <w:bCs/>
          <w:sz w:val="24"/>
        </w:rPr>
      </w:pPr>
      <w:r w:rsidRPr="001B14A2">
        <w:rPr>
          <w:rFonts w:ascii="Arial" w:hAnsi="Arial" w:cs="Arial"/>
          <w:bCs/>
          <w:sz w:val="24"/>
        </w:rPr>
        <w:t>36 made a loss</w:t>
      </w:r>
    </w:p>
    <w:p w14:paraId="689D8DDF" w14:textId="77777777" w:rsidR="001B14A2" w:rsidRPr="001B14A2" w:rsidRDefault="001B14A2" w:rsidP="00447F2C">
      <w:pPr>
        <w:numPr>
          <w:ilvl w:val="0"/>
          <w:numId w:val="13"/>
        </w:numPr>
        <w:ind w:left="1077" w:hanging="357"/>
        <w:contextualSpacing/>
        <w:rPr>
          <w:rFonts w:ascii="Arial" w:hAnsi="Arial" w:cs="Arial"/>
          <w:bCs/>
          <w:sz w:val="24"/>
        </w:rPr>
      </w:pPr>
      <w:r w:rsidRPr="001B14A2">
        <w:rPr>
          <w:rFonts w:ascii="Arial" w:hAnsi="Arial" w:cs="Arial"/>
          <w:bCs/>
          <w:sz w:val="24"/>
        </w:rPr>
        <w:t>the net loss for those ADEs was $9,854,691 (an average of $133,172)</w:t>
      </w:r>
    </w:p>
    <w:p w14:paraId="7F5883FE" w14:textId="77777777" w:rsidR="001B14A2" w:rsidRPr="001B14A2" w:rsidRDefault="001B14A2" w:rsidP="00447F2C">
      <w:pPr>
        <w:numPr>
          <w:ilvl w:val="0"/>
          <w:numId w:val="13"/>
        </w:numPr>
        <w:ind w:left="1077" w:hanging="357"/>
        <w:contextualSpacing/>
        <w:rPr>
          <w:rFonts w:ascii="Arial" w:hAnsi="Arial" w:cs="Arial"/>
          <w:bCs/>
          <w:sz w:val="24"/>
        </w:rPr>
      </w:pPr>
      <w:r w:rsidRPr="001B14A2">
        <w:rPr>
          <w:rFonts w:ascii="Arial" w:hAnsi="Arial" w:cs="Arial"/>
          <w:bCs/>
          <w:sz w:val="24"/>
        </w:rPr>
        <w:t>the largest surplus was $735,000</w:t>
      </w:r>
    </w:p>
    <w:p w14:paraId="01CC9B44" w14:textId="77777777" w:rsidR="001B14A2" w:rsidRPr="001B14A2" w:rsidRDefault="001B14A2" w:rsidP="00447F2C">
      <w:pPr>
        <w:numPr>
          <w:ilvl w:val="0"/>
          <w:numId w:val="13"/>
        </w:numPr>
        <w:ind w:left="1077" w:hanging="357"/>
        <w:contextualSpacing/>
        <w:rPr>
          <w:rFonts w:ascii="Arial" w:hAnsi="Arial" w:cs="Arial"/>
          <w:bCs/>
          <w:sz w:val="24"/>
        </w:rPr>
      </w:pPr>
      <w:r w:rsidRPr="001B14A2">
        <w:rPr>
          <w:rFonts w:ascii="Arial" w:hAnsi="Arial" w:cs="Arial"/>
          <w:bCs/>
          <w:sz w:val="24"/>
        </w:rPr>
        <w:lastRenderedPageBreak/>
        <w:t>they spent a total of $50,091,688 on capital expenditure (an average of $676,915)</w:t>
      </w:r>
    </w:p>
    <w:p w14:paraId="216D3A13" w14:textId="77777777" w:rsidR="001B14A2" w:rsidRPr="001B14A2" w:rsidRDefault="001B14A2" w:rsidP="00447F2C">
      <w:pPr>
        <w:numPr>
          <w:ilvl w:val="0"/>
          <w:numId w:val="13"/>
        </w:numPr>
        <w:ind w:left="1077" w:hanging="357"/>
        <w:contextualSpacing/>
        <w:rPr>
          <w:rFonts w:ascii="Arial" w:hAnsi="Arial" w:cs="Arial"/>
          <w:bCs/>
          <w:sz w:val="24"/>
        </w:rPr>
      </w:pPr>
      <w:r w:rsidRPr="001B14A2">
        <w:rPr>
          <w:rFonts w:ascii="Arial" w:hAnsi="Arial" w:cs="Arial"/>
          <w:bCs/>
          <w:sz w:val="24"/>
        </w:rPr>
        <w:t>average government funding per supported employee was $11,200</w:t>
      </w:r>
      <w:r w:rsidR="00447F2C">
        <w:rPr>
          <w:rFonts w:ascii="Arial" w:hAnsi="Arial" w:cs="Arial"/>
          <w:bCs/>
          <w:sz w:val="24"/>
        </w:rPr>
        <w:t>.</w:t>
      </w:r>
      <w:r w:rsidRPr="001B14A2">
        <w:rPr>
          <w:rFonts w:ascii="Arial" w:hAnsi="Arial" w:cs="Arial"/>
          <w:bCs/>
          <w:sz w:val="24"/>
        </w:rPr>
        <w:tab/>
      </w:r>
    </w:p>
    <w:p w14:paraId="7659B17C" w14:textId="77777777" w:rsidR="001B14A2" w:rsidRPr="001B14A2" w:rsidRDefault="001B14A2" w:rsidP="001B14A2">
      <w:pPr>
        <w:rPr>
          <w:rFonts w:ascii="Arial" w:hAnsi="Arial" w:cs="Arial"/>
          <w:bCs/>
          <w:sz w:val="24"/>
        </w:rPr>
      </w:pPr>
    </w:p>
    <w:p w14:paraId="69FAD6EF" w14:textId="77777777" w:rsidR="00447F2C" w:rsidRDefault="001B14A2" w:rsidP="001B14A2">
      <w:pPr>
        <w:rPr>
          <w:rFonts w:ascii="Arial" w:hAnsi="Arial" w:cs="Arial"/>
          <w:bCs/>
          <w:sz w:val="24"/>
        </w:rPr>
      </w:pPr>
      <w:r w:rsidRPr="001B14A2">
        <w:rPr>
          <w:rFonts w:ascii="Arial" w:hAnsi="Arial" w:cs="Arial"/>
          <w:bCs/>
          <w:sz w:val="24"/>
        </w:rPr>
        <w:t>ADEs continue to face uncertainty over wage assessment methods, although there are signs of progress. The Government has announced $173</w:t>
      </w:r>
      <w:r w:rsidR="00447F2C">
        <w:rPr>
          <w:rFonts w:ascii="Arial" w:hAnsi="Arial" w:cs="Arial"/>
          <w:bCs/>
          <w:sz w:val="24"/>
        </w:rPr>
        <w:t> </w:t>
      </w:r>
      <w:r w:rsidRPr="001B14A2">
        <w:rPr>
          <w:rFonts w:ascii="Arial" w:hAnsi="Arial" w:cs="Arial"/>
          <w:bCs/>
          <w:sz w:val="24"/>
        </w:rPr>
        <w:t xml:space="preserve">million to help develop and implement a new wage assessment tool, and the Fair Work Commission is assisting this. </w:t>
      </w:r>
    </w:p>
    <w:p w14:paraId="57147673" w14:textId="77777777" w:rsidR="001B14A2" w:rsidRPr="001B14A2" w:rsidRDefault="001B14A2" w:rsidP="001B14A2">
      <w:pPr>
        <w:rPr>
          <w:rFonts w:ascii="Arial" w:hAnsi="Arial" w:cs="Arial"/>
          <w:bCs/>
          <w:sz w:val="24"/>
        </w:rPr>
      </w:pPr>
      <w:r w:rsidRPr="001B14A2">
        <w:rPr>
          <w:rFonts w:ascii="Arial" w:hAnsi="Arial" w:cs="Arial"/>
          <w:bCs/>
          <w:sz w:val="24"/>
        </w:rPr>
        <w:t>But t</w:t>
      </w:r>
      <w:r w:rsidR="00447F2C">
        <w:rPr>
          <w:rFonts w:ascii="Arial" w:hAnsi="Arial" w:cs="Arial"/>
          <w:bCs/>
          <w:sz w:val="24"/>
        </w:rPr>
        <w:t>here are critical debates ahead</w:t>
      </w:r>
      <w:r w:rsidRPr="001B14A2">
        <w:rPr>
          <w:rFonts w:ascii="Arial" w:hAnsi="Arial" w:cs="Arial"/>
          <w:bCs/>
          <w:sz w:val="24"/>
        </w:rPr>
        <w:t xml:space="preserve"> on the features of the new tool</w:t>
      </w:r>
      <w:r w:rsidR="00447F2C">
        <w:rPr>
          <w:rFonts w:ascii="Arial" w:hAnsi="Arial" w:cs="Arial"/>
          <w:bCs/>
          <w:sz w:val="24"/>
        </w:rPr>
        <w:t>,</w:t>
      </w:r>
      <w:r w:rsidRPr="001B14A2">
        <w:rPr>
          <w:rFonts w:ascii="Arial" w:hAnsi="Arial" w:cs="Arial"/>
          <w:bCs/>
          <w:sz w:val="24"/>
        </w:rPr>
        <w:t xml:space="preserve"> its impact on wage costs</w:t>
      </w:r>
      <w:r w:rsidR="00447F2C">
        <w:rPr>
          <w:rFonts w:ascii="Arial" w:hAnsi="Arial" w:cs="Arial"/>
          <w:bCs/>
          <w:sz w:val="24"/>
        </w:rPr>
        <w:t>,</w:t>
      </w:r>
      <w:r w:rsidRPr="001B14A2">
        <w:rPr>
          <w:rFonts w:ascii="Arial" w:hAnsi="Arial" w:cs="Arial"/>
          <w:bCs/>
          <w:sz w:val="24"/>
        </w:rPr>
        <w:t xml:space="preserve"> the implications for other wage assessment tools and the capacity of ADEs to pay wages after the Government’s wage subsidy expires. </w:t>
      </w:r>
    </w:p>
    <w:p w14:paraId="4710FBA2" w14:textId="77777777" w:rsidR="001B14A2" w:rsidRPr="001B14A2" w:rsidRDefault="001B14A2" w:rsidP="001B14A2">
      <w:pPr>
        <w:rPr>
          <w:rFonts w:ascii="Arial" w:hAnsi="Arial" w:cs="Arial"/>
          <w:bCs/>
          <w:sz w:val="24"/>
        </w:rPr>
      </w:pPr>
      <w:r w:rsidRPr="001B14A2">
        <w:rPr>
          <w:rFonts w:ascii="Arial" w:hAnsi="Arial" w:cs="Arial"/>
          <w:bCs/>
          <w:sz w:val="24"/>
        </w:rPr>
        <w:t>NDS developed and is running a campaign, ‘ADEs Work for Me’, which calls for a plan to secure the future of supported employment (‘no job losses</w:t>
      </w:r>
      <w:r w:rsidR="00447F2C">
        <w:rPr>
          <w:rFonts w:ascii="Arial" w:hAnsi="Arial" w:cs="Arial"/>
          <w:bCs/>
          <w:sz w:val="24"/>
        </w:rPr>
        <w:t>,</w:t>
      </w:r>
      <w:r w:rsidRPr="001B14A2">
        <w:rPr>
          <w:rFonts w:ascii="Arial" w:hAnsi="Arial" w:cs="Arial"/>
          <w:bCs/>
          <w:sz w:val="24"/>
        </w:rPr>
        <w:t xml:space="preserve"> fair wages and sustainable businesses’). It is also arguing fo</w:t>
      </w:r>
      <w:r w:rsidR="005403BF">
        <w:rPr>
          <w:rFonts w:ascii="Arial" w:hAnsi="Arial" w:cs="Arial"/>
          <w:bCs/>
          <w:sz w:val="24"/>
        </w:rPr>
        <w:t>r an industry development plan instead of an open tender</w:t>
      </w:r>
      <w:r w:rsidRPr="001B14A2">
        <w:rPr>
          <w:rFonts w:ascii="Arial" w:hAnsi="Arial" w:cs="Arial"/>
          <w:bCs/>
          <w:sz w:val="24"/>
        </w:rPr>
        <w:t>, which includes assisting organisations to prepare for the NDIS and develop viable businesses, and boosting government procurement from ADEs.</w:t>
      </w:r>
    </w:p>
    <w:p w14:paraId="7192583B" w14:textId="77777777" w:rsidR="001B14A2" w:rsidRPr="001B14A2" w:rsidRDefault="001B14A2" w:rsidP="001F094B">
      <w:pPr>
        <w:pStyle w:val="Heading2"/>
      </w:pPr>
      <w:bookmarkStart w:id="196" w:name="_Toc403038254"/>
      <w:bookmarkStart w:id="197" w:name="_Toc403051787"/>
      <w:bookmarkStart w:id="198" w:name="_Toc404089939"/>
      <w:r w:rsidRPr="001B14A2">
        <w:t xml:space="preserve">Open </w:t>
      </w:r>
      <w:bookmarkEnd w:id="196"/>
      <w:r w:rsidRPr="001B14A2">
        <w:t>employment</w:t>
      </w:r>
      <w:bookmarkEnd w:id="197"/>
      <w:bookmarkEnd w:id="198"/>
      <w:r w:rsidRPr="001B14A2">
        <w:t xml:space="preserve"> </w:t>
      </w:r>
    </w:p>
    <w:p w14:paraId="164FBC3B" w14:textId="77777777" w:rsidR="001B14A2" w:rsidRPr="001B14A2" w:rsidRDefault="001B14A2" w:rsidP="001B14A2">
      <w:pPr>
        <w:rPr>
          <w:rFonts w:ascii="Arial" w:hAnsi="Arial" w:cs="Arial"/>
          <w:bCs/>
          <w:sz w:val="24"/>
        </w:rPr>
      </w:pPr>
      <w:r w:rsidRPr="001B14A2">
        <w:rPr>
          <w:rFonts w:ascii="Arial" w:hAnsi="Arial" w:cs="Arial"/>
          <w:bCs/>
          <w:sz w:val="24"/>
        </w:rPr>
        <w:t>Disability Employment Service (DES) providers are constrained by excessive red tape. More than 900 pages of contractual obligations and guidelines are diverting</w:t>
      </w:r>
      <w:r w:rsidR="00A534CB">
        <w:rPr>
          <w:rFonts w:ascii="Arial" w:hAnsi="Arial" w:cs="Arial"/>
          <w:bCs/>
          <w:sz w:val="24"/>
        </w:rPr>
        <w:t xml:space="preserve"> their</w:t>
      </w:r>
      <w:r w:rsidRPr="001B14A2">
        <w:rPr>
          <w:rFonts w:ascii="Arial" w:hAnsi="Arial" w:cs="Arial"/>
          <w:bCs/>
          <w:sz w:val="24"/>
        </w:rPr>
        <w:t xml:space="preserve"> resources away from the</w:t>
      </w:r>
      <w:r w:rsidR="00447F2C">
        <w:rPr>
          <w:rFonts w:ascii="Arial" w:hAnsi="Arial" w:cs="Arial"/>
          <w:bCs/>
          <w:sz w:val="24"/>
        </w:rPr>
        <w:t>ir</w:t>
      </w:r>
      <w:r w:rsidRPr="001B14A2">
        <w:rPr>
          <w:rFonts w:ascii="Arial" w:hAnsi="Arial" w:cs="Arial"/>
          <w:bCs/>
          <w:sz w:val="24"/>
        </w:rPr>
        <w:t xml:space="preserve"> primary tasks of finding and maintaining jobs for people with disability. </w:t>
      </w:r>
    </w:p>
    <w:p w14:paraId="0BF4F363" w14:textId="77777777" w:rsidR="001B14A2" w:rsidRPr="001B14A2" w:rsidRDefault="001B14A2" w:rsidP="001B14A2">
      <w:pPr>
        <w:rPr>
          <w:rFonts w:ascii="Arial" w:hAnsi="Arial" w:cs="Arial"/>
          <w:bCs/>
          <w:sz w:val="24"/>
        </w:rPr>
      </w:pPr>
      <w:r w:rsidRPr="001B14A2">
        <w:rPr>
          <w:rFonts w:ascii="Arial" w:hAnsi="Arial" w:cs="Arial"/>
          <w:bCs/>
          <w:sz w:val="24"/>
        </w:rPr>
        <w:t xml:space="preserve">The Government has red tape reduction for businesses, community organisations and individuals on its ‘to do’ list, promising to cut compliance costs </w:t>
      </w:r>
      <w:r w:rsidR="00447F2C">
        <w:rPr>
          <w:rFonts w:ascii="Arial" w:hAnsi="Arial" w:cs="Arial"/>
          <w:bCs/>
          <w:sz w:val="24"/>
        </w:rPr>
        <w:t>by</w:t>
      </w:r>
      <w:r w:rsidRPr="001B14A2">
        <w:rPr>
          <w:rFonts w:ascii="Arial" w:hAnsi="Arial" w:cs="Arial"/>
          <w:bCs/>
          <w:sz w:val="24"/>
        </w:rPr>
        <w:t xml:space="preserve"> $1</w:t>
      </w:r>
      <w:r w:rsidR="00447F2C">
        <w:rPr>
          <w:rFonts w:ascii="Arial" w:hAnsi="Arial" w:cs="Arial"/>
          <w:bCs/>
          <w:sz w:val="24"/>
        </w:rPr>
        <w:t> </w:t>
      </w:r>
      <w:r w:rsidRPr="001B14A2">
        <w:rPr>
          <w:rFonts w:ascii="Arial" w:hAnsi="Arial" w:cs="Arial"/>
          <w:bCs/>
          <w:sz w:val="24"/>
        </w:rPr>
        <w:t>billion a year. NDS is encouraging it to start by reducing the contractual rules that en</w:t>
      </w:r>
      <w:r w:rsidR="005403BF">
        <w:rPr>
          <w:rFonts w:ascii="Arial" w:hAnsi="Arial" w:cs="Arial"/>
          <w:bCs/>
          <w:sz w:val="24"/>
        </w:rPr>
        <w:t>snar</w:t>
      </w:r>
      <w:r w:rsidRPr="001B14A2">
        <w:rPr>
          <w:rFonts w:ascii="Arial" w:hAnsi="Arial" w:cs="Arial"/>
          <w:bCs/>
          <w:sz w:val="24"/>
        </w:rPr>
        <w:t xml:space="preserve">e DES providers. </w:t>
      </w:r>
    </w:p>
    <w:p w14:paraId="4F29C92C" w14:textId="77777777" w:rsidR="001B14A2" w:rsidRDefault="001B14A2" w:rsidP="001B14A2">
      <w:pPr>
        <w:rPr>
          <w:rFonts w:ascii="Arial" w:hAnsi="Arial" w:cs="Arial"/>
          <w:bCs/>
          <w:sz w:val="24"/>
        </w:rPr>
      </w:pPr>
      <w:r w:rsidRPr="001B14A2">
        <w:rPr>
          <w:rFonts w:ascii="Arial" w:hAnsi="Arial" w:cs="Arial"/>
          <w:bCs/>
          <w:sz w:val="24"/>
        </w:rPr>
        <w:t xml:space="preserve">DES providers are also struggling with a decline in the real value of funding, the result of an indexation freeze on program fees. </w:t>
      </w:r>
      <w:r w:rsidR="00E54DA4">
        <w:rPr>
          <w:rFonts w:ascii="Arial" w:hAnsi="Arial" w:cs="Arial"/>
          <w:bCs/>
          <w:sz w:val="24"/>
        </w:rPr>
        <w:t xml:space="preserve">Figure </w:t>
      </w:r>
      <w:r w:rsidR="004733A4">
        <w:rPr>
          <w:rFonts w:ascii="Arial" w:hAnsi="Arial" w:cs="Arial"/>
          <w:bCs/>
          <w:sz w:val="24"/>
        </w:rPr>
        <w:t>8</w:t>
      </w:r>
      <w:r w:rsidRPr="001B14A2">
        <w:rPr>
          <w:rFonts w:ascii="Arial" w:hAnsi="Arial" w:cs="Arial"/>
          <w:bCs/>
          <w:sz w:val="24"/>
        </w:rPr>
        <w:t xml:space="preserve"> demonstrates the financial impact of no indexation between 2010-11 and 2017-18, the end of current contracts. The three scenarios are based on typical patterns of fees for participants in the DES-DMS (Disability Management Services) program </w:t>
      </w:r>
      <w:r w:rsidR="00447F2C">
        <w:rPr>
          <w:rFonts w:ascii="Arial" w:hAnsi="Arial" w:cs="Arial"/>
          <w:bCs/>
          <w:sz w:val="24"/>
        </w:rPr>
        <w:t xml:space="preserve">and </w:t>
      </w:r>
      <w:r w:rsidRPr="001B14A2">
        <w:rPr>
          <w:rFonts w:ascii="Arial" w:hAnsi="Arial" w:cs="Arial"/>
          <w:bCs/>
          <w:sz w:val="24"/>
        </w:rPr>
        <w:t>at b</w:t>
      </w:r>
      <w:r w:rsidR="00F611AE">
        <w:rPr>
          <w:rFonts w:ascii="Arial" w:hAnsi="Arial" w:cs="Arial"/>
          <w:bCs/>
          <w:sz w:val="24"/>
        </w:rPr>
        <w:t>oth funding levels in the DES–</w:t>
      </w:r>
      <w:r w:rsidRPr="001B14A2">
        <w:rPr>
          <w:rFonts w:ascii="Arial" w:hAnsi="Arial" w:cs="Arial"/>
          <w:bCs/>
          <w:sz w:val="24"/>
        </w:rPr>
        <w:t xml:space="preserve">ESS (Employment Support Services) program. </w:t>
      </w:r>
    </w:p>
    <w:p w14:paraId="11177D45" w14:textId="77777777" w:rsidR="00447F2C" w:rsidRDefault="00447F2C">
      <w:pPr>
        <w:rPr>
          <w:rFonts w:ascii="Arial" w:eastAsiaTheme="majorEastAsia" w:hAnsi="Arial" w:cs="Arial"/>
          <w:iCs/>
          <w:spacing w:val="13"/>
          <w:sz w:val="24"/>
          <w:szCs w:val="24"/>
        </w:rPr>
      </w:pPr>
      <w:r>
        <w:br w:type="page"/>
      </w:r>
    </w:p>
    <w:p w14:paraId="4D2D8334" w14:textId="77777777" w:rsidR="00447F2C" w:rsidRPr="001B14A2" w:rsidRDefault="00E54DA4" w:rsidP="00447F2C">
      <w:pPr>
        <w:pStyle w:val="Subtitle"/>
      </w:pPr>
      <w:r>
        <w:lastRenderedPageBreak/>
        <w:t xml:space="preserve">Figure </w:t>
      </w:r>
      <w:r w:rsidR="004733A4">
        <w:t>8</w:t>
      </w:r>
      <w:r w:rsidR="00447F2C">
        <w:t xml:space="preserve">: financial </w:t>
      </w:r>
      <w:r w:rsidR="00447F2C" w:rsidRPr="001B14A2">
        <w:t xml:space="preserve">impact </w:t>
      </w:r>
      <w:r w:rsidR="00447F2C">
        <w:t xml:space="preserve">on DES providers </w:t>
      </w:r>
      <w:r w:rsidR="00447F2C" w:rsidRPr="001B14A2">
        <w:t>of no indexation between 2010-11 and 2017-18</w:t>
      </w:r>
    </w:p>
    <w:p w14:paraId="660F3223" w14:textId="77777777" w:rsidR="001B14A2" w:rsidRDefault="001B14A2" w:rsidP="001B14A2">
      <w:pPr>
        <w:rPr>
          <w:rFonts w:ascii="Arial" w:hAnsi="Arial" w:cs="Arial"/>
          <w:bCs/>
          <w:sz w:val="24"/>
        </w:rPr>
      </w:pPr>
      <w:r w:rsidRPr="001B14A2">
        <w:rPr>
          <w:rFonts w:ascii="Arial" w:hAnsi="Arial" w:cs="Arial"/>
          <w:noProof/>
          <w:sz w:val="24"/>
          <w:lang w:eastAsia="en-AU"/>
        </w:rPr>
        <w:drawing>
          <wp:inline distT="0" distB="0" distL="0" distR="0" wp14:anchorId="22A957EE" wp14:editId="559F085F">
            <wp:extent cx="5731510" cy="3737941"/>
            <wp:effectExtent l="0" t="0" r="2540" b="0"/>
            <wp:docPr id="7" name="Picture 7" descr="See also accessible table below this figure.&#10;The following figures are the real value of DES fees, adjusted to 2012-13 dollars.&#10;ESS funding level two: In 2010-11, the cumulative fees were $32,495 down to $25,856 in 2017-18.&#10;ESS funding level one: In 2010-11, the cumulative fees were $15,701 down to $12,493 in 2017-18.&#10;DMS: In 2010-11, the cumulative fees were $12,783 down to $10,171 in 2017-18." title="Figure 8: financial impact on DES providers of no indexation between 2010-11 and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04B3.1507474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31510" cy="3737941"/>
                    </a:xfrm>
                    <a:prstGeom prst="rect">
                      <a:avLst/>
                    </a:prstGeom>
                    <a:noFill/>
                    <a:ln>
                      <a:noFill/>
                    </a:ln>
                  </pic:spPr>
                </pic:pic>
              </a:graphicData>
            </a:graphic>
          </wp:inline>
        </w:drawing>
      </w:r>
    </w:p>
    <w:p w14:paraId="70035728" w14:textId="77777777" w:rsidR="006E4EDB" w:rsidRPr="006E4EDB" w:rsidRDefault="006E4EDB" w:rsidP="006E4EDB">
      <w:pPr>
        <w:pStyle w:val="Subtitle"/>
      </w:pPr>
      <w:r>
        <w:t xml:space="preserve">Figure 8: financial </w:t>
      </w:r>
      <w:r w:rsidRPr="001B14A2">
        <w:t xml:space="preserve">impact </w:t>
      </w:r>
      <w:r>
        <w:t xml:space="preserve">on DES providers </w:t>
      </w:r>
      <w:r w:rsidRPr="001B14A2">
        <w:t>of no indexat</w:t>
      </w:r>
      <w:r>
        <w:t>ion between 2010-11 and 2017-18</w:t>
      </w:r>
    </w:p>
    <w:tbl>
      <w:tblPr>
        <w:tblW w:w="4813" w:type="pct"/>
        <w:tblLayout w:type="fixed"/>
        <w:tblLook w:val="04A0" w:firstRow="1" w:lastRow="0" w:firstColumn="1" w:lastColumn="0" w:noHBand="0" w:noVBand="1"/>
      </w:tblPr>
      <w:tblGrid>
        <w:gridCol w:w="2093"/>
        <w:gridCol w:w="1559"/>
        <w:gridCol w:w="1559"/>
        <w:gridCol w:w="1701"/>
        <w:gridCol w:w="1984"/>
      </w:tblGrid>
      <w:tr w:rsidR="006E4EDB" w:rsidRPr="00E50C6A" w14:paraId="3BE929F5" w14:textId="77777777" w:rsidTr="00390D50">
        <w:trPr>
          <w:trHeight w:val="429"/>
          <w:tblHeader/>
        </w:trPr>
        <w:tc>
          <w:tcPr>
            <w:tcW w:w="11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338FB1" w14:textId="77777777" w:rsidR="006E4EDB" w:rsidRPr="00E50C6A" w:rsidRDefault="006E4EDB" w:rsidP="00BB718B">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 </w:t>
            </w:r>
            <w:bookmarkStart w:id="199" w:name="Title_3"/>
            <w:bookmarkEnd w:id="199"/>
          </w:p>
        </w:tc>
        <w:tc>
          <w:tcPr>
            <w:tcW w:w="876" w:type="pct"/>
            <w:tcBorders>
              <w:top w:val="single" w:sz="8" w:space="0" w:color="auto"/>
              <w:left w:val="nil"/>
              <w:bottom w:val="single" w:sz="8" w:space="0" w:color="auto"/>
              <w:right w:val="single" w:sz="8" w:space="0" w:color="auto"/>
            </w:tcBorders>
            <w:shd w:val="clear" w:color="auto" w:fill="auto"/>
            <w:noWrap/>
            <w:vAlign w:val="center"/>
            <w:hideMark/>
          </w:tcPr>
          <w:p w14:paraId="141C6460" w14:textId="77777777" w:rsidR="006E4EDB" w:rsidRPr="00E50C6A" w:rsidRDefault="006E4EDB" w:rsidP="00BB718B">
            <w:pPr>
              <w:spacing w:after="0" w:line="240" w:lineRule="auto"/>
              <w:jc w:val="center"/>
              <w:rPr>
                <w:rFonts w:ascii="Arial" w:eastAsia="Times New Roman" w:hAnsi="Arial" w:cs="Arial"/>
                <w:b/>
                <w:bCs/>
                <w:color w:val="000000"/>
                <w:sz w:val="24"/>
                <w:szCs w:val="24"/>
                <w:lang w:eastAsia="en-AU"/>
              </w:rPr>
            </w:pPr>
            <w:r w:rsidRPr="00E50C6A">
              <w:rPr>
                <w:rFonts w:ascii="Arial" w:eastAsia="Times New Roman" w:hAnsi="Arial" w:cs="Arial"/>
                <w:b/>
                <w:bCs/>
                <w:color w:val="000000"/>
                <w:sz w:val="24"/>
                <w:szCs w:val="24"/>
                <w:lang w:eastAsia="en-AU"/>
              </w:rPr>
              <w:t>2010-11</w:t>
            </w:r>
          </w:p>
        </w:tc>
        <w:tc>
          <w:tcPr>
            <w:tcW w:w="876" w:type="pct"/>
            <w:tcBorders>
              <w:top w:val="single" w:sz="8" w:space="0" w:color="auto"/>
              <w:left w:val="nil"/>
              <w:bottom w:val="single" w:sz="8" w:space="0" w:color="auto"/>
              <w:right w:val="single" w:sz="8" w:space="0" w:color="auto"/>
            </w:tcBorders>
            <w:shd w:val="clear" w:color="auto" w:fill="auto"/>
            <w:noWrap/>
            <w:vAlign w:val="center"/>
            <w:hideMark/>
          </w:tcPr>
          <w:p w14:paraId="20438002" w14:textId="77777777" w:rsidR="006E4EDB" w:rsidRPr="00E50C6A" w:rsidRDefault="006E4EDB" w:rsidP="00BB718B">
            <w:pPr>
              <w:spacing w:after="0" w:line="240" w:lineRule="auto"/>
              <w:jc w:val="center"/>
              <w:rPr>
                <w:rFonts w:ascii="Arial" w:eastAsia="Times New Roman" w:hAnsi="Arial" w:cs="Arial"/>
                <w:b/>
                <w:bCs/>
                <w:color w:val="000000"/>
                <w:sz w:val="24"/>
                <w:szCs w:val="24"/>
                <w:lang w:eastAsia="en-AU"/>
              </w:rPr>
            </w:pPr>
            <w:r w:rsidRPr="00E50C6A">
              <w:rPr>
                <w:rFonts w:ascii="Arial" w:eastAsia="Times New Roman" w:hAnsi="Arial" w:cs="Arial"/>
                <w:b/>
                <w:bCs/>
                <w:color w:val="000000"/>
                <w:sz w:val="24"/>
                <w:szCs w:val="24"/>
                <w:lang w:eastAsia="en-AU"/>
              </w:rPr>
              <w:t>2011-12</w:t>
            </w:r>
          </w:p>
        </w:tc>
        <w:tc>
          <w:tcPr>
            <w:tcW w:w="956" w:type="pct"/>
            <w:tcBorders>
              <w:top w:val="single" w:sz="8" w:space="0" w:color="auto"/>
              <w:left w:val="nil"/>
              <w:bottom w:val="single" w:sz="8" w:space="0" w:color="auto"/>
              <w:right w:val="single" w:sz="8" w:space="0" w:color="auto"/>
            </w:tcBorders>
            <w:shd w:val="clear" w:color="auto" w:fill="auto"/>
            <w:noWrap/>
            <w:vAlign w:val="center"/>
            <w:hideMark/>
          </w:tcPr>
          <w:p w14:paraId="58928AFE" w14:textId="77777777" w:rsidR="006E4EDB" w:rsidRPr="00E50C6A" w:rsidRDefault="006E4EDB" w:rsidP="00BB718B">
            <w:pPr>
              <w:spacing w:after="0" w:line="240" w:lineRule="auto"/>
              <w:jc w:val="center"/>
              <w:rPr>
                <w:rFonts w:ascii="Arial" w:eastAsia="Times New Roman" w:hAnsi="Arial" w:cs="Arial"/>
                <w:b/>
                <w:bCs/>
                <w:color w:val="000000"/>
                <w:sz w:val="24"/>
                <w:szCs w:val="24"/>
                <w:lang w:eastAsia="en-AU"/>
              </w:rPr>
            </w:pPr>
            <w:r w:rsidRPr="00E50C6A">
              <w:rPr>
                <w:rFonts w:ascii="Arial" w:eastAsia="Times New Roman" w:hAnsi="Arial" w:cs="Arial"/>
                <w:b/>
                <w:bCs/>
                <w:color w:val="000000"/>
                <w:sz w:val="24"/>
                <w:szCs w:val="24"/>
                <w:lang w:eastAsia="en-AU"/>
              </w:rPr>
              <w:t>2012-13</w:t>
            </w:r>
          </w:p>
        </w:tc>
        <w:tc>
          <w:tcPr>
            <w:tcW w:w="1115" w:type="pct"/>
            <w:tcBorders>
              <w:top w:val="single" w:sz="8" w:space="0" w:color="auto"/>
              <w:left w:val="nil"/>
              <w:bottom w:val="single" w:sz="8" w:space="0" w:color="auto"/>
              <w:right w:val="single" w:sz="8" w:space="0" w:color="auto"/>
            </w:tcBorders>
            <w:shd w:val="clear" w:color="auto" w:fill="auto"/>
            <w:noWrap/>
            <w:vAlign w:val="center"/>
            <w:hideMark/>
          </w:tcPr>
          <w:p w14:paraId="08EB09F1" w14:textId="77777777" w:rsidR="006E4EDB" w:rsidRPr="00E50C6A" w:rsidRDefault="006E4EDB" w:rsidP="00BB718B">
            <w:pPr>
              <w:spacing w:after="0" w:line="240" w:lineRule="auto"/>
              <w:jc w:val="center"/>
              <w:rPr>
                <w:rFonts w:ascii="Arial" w:eastAsia="Times New Roman" w:hAnsi="Arial" w:cs="Arial"/>
                <w:b/>
                <w:bCs/>
                <w:color w:val="000000"/>
                <w:sz w:val="24"/>
                <w:szCs w:val="24"/>
                <w:lang w:eastAsia="en-AU"/>
              </w:rPr>
            </w:pPr>
            <w:r w:rsidRPr="00E50C6A">
              <w:rPr>
                <w:rFonts w:ascii="Arial" w:eastAsia="Times New Roman" w:hAnsi="Arial" w:cs="Arial"/>
                <w:b/>
                <w:bCs/>
                <w:color w:val="000000"/>
                <w:sz w:val="24"/>
                <w:szCs w:val="24"/>
                <w:lang w:eastAsia="en-AU"/>
              </w:rPr>
              <w:t>2013-14</w:t>
            </w:r>
          </w:p>
        </w:tc>
      </w:tr>
      <w:tr w:rsidR="006E4EDB" w:rsidRPr="00E50C6A" w14:paraId="53FAD837" w14:textId="77777777" w:rsidTr="00390D50">
        <w:trPr>
          <w:trHeight w:val="429"/>
          <w:tblHeader/>
        </w:trPr>
        <w:tc>
          <w:tcPr>
            <w:tcW w:w="1176" w:type="pct"/>
            <w:tcBorders>
              <w:top w:val="nil"/>
              <w:left w:val="single" w:sz="8" w:space="0" w:color="auto"/>
              <w:bottom w:val="single" w:sz="8" w:space="0" w:color="auto"/>
              <w:right w:val="single" w:sz="8" w:space="0" w:color="auto"/>
            </w:tcBorders>
            <w:shd w:val="clear" w:color="auto" w:fill="auto"/>
            <w:noWrap/>
            <w:vAlign w:val="center"/>
            <w:hideMark/>
          </w:tcPr>
          <w:p w14:paraId="7AFB79D0" w14:textId="77777777" w:rsidR="006E4EDB" w:rsidRPr="00E50C6A" w:rsidRDefault="006E4EDB" w:rsidP="00BB718B">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Scenario 1: DMS</w:t>
            </w:r>
          </w:p>
        </w:tc>
        <w:tc>
          <w:tcPr>
            <w:tcW w:w="876" w:type="pct"/>
            <w:tcBorders>
              <w:top w:val="nil"/>
              <w:left w:val="nil"/>
              <w:bottom w:val="single" w:sz="8" w:space="0" w:color="auto"/>
              <w:right w:val="single" w:sz="8" w:space="0" w:color="auto"/>
            </w:tcBorders>
            <w:shd w:val="clear" w:color="auto" w:fill="auto"/>
            <w:noWrap/>
            <w:vAlign w:val="center"/>
            <w:hideMark/>
          </w:tcPr>
          <w:p w14:paraId="1C7D0A4A" w14:textId="77777777" w:rsidR="006E4EDB" w:rsidRPr="00E50C6A" w:rsidRDefault="006E4EDB" w:rsidP="00BB718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$12,782.72</w:t>
            </w:r>
          </w:p>
        </w:tc>
        <w:tc>
          <w:tcPr>
            <w:tcW w:w="876" w:type="pct"/>
            <w:tcBorders>
              <w:top w:val="nil"/>
              <w:left w:val="nil"/>
              <w:bottom w:val="single" w:sz="8" w:space="0" w:color="auto"/>
              <w:right w:val="single" w:sz="8" w:space="0" w:color="auto"/>
            </w:tcBorders>
            <w:shd w:val="clear" w:color="auto" w:fill="auto"/>
            <w:noWrap/>
            <w:vAlign w:val="center"/>
            <w:hideMark/>
          </w:tcPr>
          <w:p w14:paraId="040077C0" w14:textId="77777777" w:rsidR="006E4EDB" w:rsidRPr="00E50C6A" w:rsidRDefault="006E4EDB" w:rsidP="00BB718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$12,333.19</w:t>
            </w:r>
          </w:p>
        </w:tc>
        <w:tc>
          <w:tcPr>
            <w:tcW w:w="956" w:type="pct"/>
            <w:tcBorders>
              <w:top w:val="nil"/>
              <w:left w:val="nil"/>
              <w:bottom w:val="single" w:sz="8" w:space="0" w:color="auto"/>
              <w:right w:val="single" w:sz="8" w:space="0" w:color="auto"/>
            </w:tcBorders>
            <w:shd w:val="clear" w:color="auto" w:fill="auto"/>
            <w:noWrap/>
            <w:vAlign w:val="center"/>
            <w:hideMark/>
          </w:tcPr>
          <w:p w14:paraId="20FEC370" w14:textId="77777777" w:rsidR="006E4EDB" w:rsidRPr="00E50C6A" w:rsidRDefault="006E4EDB" w:rsidP="00BB718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$11,935.00</w:t>
            </w:r>
          </w:p>
        </w:tc>
        <w:tc>
          <w:tcPr>
            <w:tcW w:w="1115" w:type="pct"/>
            <w:tcBorders>
              <w:top w:val="nil"/>
              <w:left w:val="nil"/>
              <w:bottom w:val="single" w:sz="8" w:space="0" w:color="auto"/>
              <w:right w:val="single" w:sz="8" w:space="0" w:color="auto"/>
            </w:tcBorders>
            <w:shd w:val="clear" w:color="auto" w:fill="auto"/>
            <w:noWrap/>
            <w:vAlign w:val="center"/>
            <w:hideMark/>
          </w:tcPr>
          <w:p w14:paraId="689C6C7D" w14:textId="77777777" w:rsidR="006E4EDB" w:rsidRPr="00E50C6A" w:rsidRDefault="006E4EDB" w:rsidP="00BB718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$11,559.32</w:t>
            </w:r>
          </w:p>
        </w:tc>
      </w:tr>
      <w:tr w:rsidR="006E4EDB" w:rsidRPr="00E50C6A" w14:paraId="161F45DD" w14:textId="77777777" w:rsidTr="00390D50">
        <w:trPr>
          <w:trHeight w:val="429"/>
          <w:tblHeader/>
        </w:trPr>
        <w:tc>
          <w:tcPr>
            <w:tcW w:w="1176" w:type="pct"/>
            <w:tcBorders>
              <w:top w:val="nil"/>
              <w:left w:val="single" w:sz="8" w:space="0" w:color="auto"/>
              <w:bottom w:val="single" w:sz="8" w:space="0" w:color="auto"/>
              <w:right w:val="single" w:sz="8" w:space="0" w:color="auto"/>
            </w:tcBorders>
            <w:shd w:val="clear" w:color="auto" w:fill="auto"/>
            <w:noWrap/>
            <w:vAlign w:val="center"/>
            <w:hideMark/>
          </w:tcPr>
          <w:p w14:paraId="5945A9E5" w14:textId="77777777" w:rsidR="006E4EDB" w:rsidRPr="00E50C6A" w:rsidRDefault="006E4EDB" w:rsidP="00304D40">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Scenario 2: ESS Funding Level 1</w:t>
            </w:r>
          </w:p>
        </w:tc>
        <w:tc>
          <w:tcPr>
            <w:tcW w:w="876" w:type="pct"/>
            <w:tcBorders>
              <w:top w:val="nil"/>
              <w:left w:val="nil"/>
              <w:bottom w:val="single" w:sz="8" w:space="0" w:color="auto"/>
              <w:right w:val="single" w:sz="8" w:space="0" w:color="auto"/>
            </w:tcBorders>
            <w:shd w:val="clear" w:color="auto" w:fill="auto"/>
            <w:noWrap/>
            <w:vAlign w:val="center"/>
            <w:hideMark/>
          </w:tcPr>
          <w:p w14:paraId="60938FF4" w14:textId="77777777" w:rsidR="006E4EDB" w:rsidRPr="00E50C6A" w:rsidRDefault="006E4EDB" w:rsidP="00304D40">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$15,701.27</w:t>
            </w:r>
          </w:p>
        </w:tc>
        <w:tc>
          <w:tcPr>
            <w:tcW w:w="876" w:type="pct"/>
            <w:tcBorders>
              <w:top w:val="nil"/>
              <w:left w:val="nil"/>
              <w:bottom w:val="single" w:sz="8" w:space="0" w:color="auto"/>
              <w:right w:val="single" w:sz="8" w:space="0" w:color="auto"/>
            </w:tcBorders>
            <w:shd w:val="clear" w:color="auto" w:fill="auto"/>
            <w:noWrap/>
            <w:vAlign w:val="center"/>
            <w:hideMark/>
          </w:tcPr>
          <w:p w14:paraId="180674B6" w14:textId="77777777" w:rsidR="006E4EDB" w:rsidRPr="00E50C6A" w:rsidRDefault="006E4EDB" w:rsidP="00304D40">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$15,149.11</w:t>
            </w:r>
          </w:p>
        </w:tc>
        <w:tc>
          <w:tcPr>
            <w:tcW w:w="956" w:type="pct"/>
            <w:tcBorders>
              <w:top w:val="nil"/>
              <w:left w:val="nil"/>
              <w:bottom w:val="single" w:sz="8" w:space="0" w:color="auto"/>
              <w:right w:val="single" w:sz="8" w:space="0" w:color="auto"/>
            </w:tcBorders>
            <w:shd w:val="clear" w:color="auto" w:fill="auto"/>
            <w:noWrap/>
            <w:vAlign w:val="center"/>
            <w:hideMark/>
          </w:tcPr>
          <w:p w14:paraId="4AB82144" w14:textId="77777777" w:rsidR="006E4EDB" w:rsidRPr="00E50C6A" w:rsidRDefault="006E4EDB" w:rsidP="00304D40">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$14,660.00</w:t>
            </w:r>
          </w:p>
        </w:tc>
        <w:tc>
          <w:tcPr>
            <w:tcW w:w="1115" w:type="pct"/>
            <w:tcBorders>
              <w:top w:val="nil"/>
              <w:left w:val="nil"/>
              <w:bottom w:val="single" w:sz="8" w:space="0" w:color="auto"/>
              <w:right w:val="single" w:sz="8" w:space="0" w:color="auto"/>
            </w:tcBorders>
            <w:shd w:val="clear" w:color="auto" w:fill="auto"/>
            <w:noWrap/>
            <w:vAlign w:val="center"/>
            <w:hideMark/>
          </w:tcPr>
          <w:p w14:paraId="14E0FB8E" w14:textId="77777777" w:rsidR="006E4EDB" w:rsidRPr="00E50C6A" w:rsidRDefault="006E4EDB" w:rsidP="00304D40">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$14,198.55</w:t>
            </w:r>
          </w:p>
        </w:tc>
      </w:tr>
      <w:tr w:rsidR="006E4EDB" w:rsidRPr="00E50C6A" w14:paraId="206D9D1D" w14:textId="77777777" w:rsidTr="00390D50">
        <w:trPr>
          <w:trHeight w:val="429"/>
          <w:tblHeader/>
        </w:trPr>
        <w:tc>
          <w:tcPr>
            <w:tcW w:w="1176" w:type="pct"/>
            <w:tcBorders>
              <w:top w:val="nil"/>
              <w:left w:val="single" w:sz="8" w:space="0" w:color="auto"/>
              <w:bottom w:val="single" w:sz="8" w:space="0" w:color="auto"/>
              <w:right w:val="single" w:sz="8" w:space="0" w:color="auto"/>
            </w:tcBorders>
            <w:shd w:val="clear" w:color="auto" w:fill="auto"/>
            <w:noWrap/>
            <w:vAlign w:val="center"/>
            <w:hideMark/>
          </w:tcPr>
          <w:p w14:paraId="48C7E981" w14:textId="77777777" w:rsidR="006E4EDB" w:rsidRPr="00E50C6A" w:rsidRDefault="006E4EDB" w:rsidP="00BB718B">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Scenario 3: ESS Funding Level 2</w:t>
            </w:r>
          </w:p>
        </w:tc>
        <w:tc>
          <w:tcPr>
            <w:tcW w:w="876" w:type="pct"/>
            <w:tcBorders>
              <w:top w:val="nil"/>
              <w:left w:val="nil"/>
              <w:bottom w:val="single" w:sz="8" w:space="0" w:color="auto"/>
              <w:right w:val="single" w:sz="8" w:space="0" w:color="auto"/>
            </w:tcBorders>
            <w:shd w:val="clear" w:color="auto" w:fill="auto"/>
            <w:noWrap/>
            <w:vAlign w:val="center"/>
            <w:hideMark/>
          </w:tcPr>
          <w:p w14:paraId="3855D8E0" w14:textId="77777777" w:rsidR="006E4EDB" w:rsidRPr="00E50C6A" w:rsidRDefault="006E4EDB" w:rsidP="00BB718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$32,494.99</w:t>
            </w:r>
          </w:p>
        </w:tc>
        <w:tc>
          <w:tcPr>
            <w:tcW w:w="876" w:type="pct"/>
            <w:tcBorders>
              <w:top w:val="nil"/>
              <w:left w:val="nil"/>
              <w:bottom w:val="single" w:sz="8" w:space="0" w:color="auto"/>
              <w:right w:val="single" w:sz="8" w:space="0" w:color="auto"/>
            </w:tcBorders>
            <w:shd w:val="clear" w:color="auto" w:fill="auto"/>
            <w:noWrap/>
            <w:vAlign w:val="center"/>
            <w:hideMark/>
          </w:tcPr>
          <w:p w14:paraId="506DC923" w14:textId="77777777" w:rsidR="006E4EDB" w:rsidRPr="00E50C6A" w:rsidRDefault="006E4EDB" w:rsidP="00BB718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$31,352.25</w:t>
            </w:r>
          </w:p>
        </w:tc>
        <w:tc>
          <w:tcPr>
            <w:tcW w:w="956" w:type="pct"/>
            <w:tcBorders>
              <w:top w:val="nil"/>
              <w:left w:val="nil"/>
              <w:bottom w:val="single" w:sz="8" w:space="0" w:color="auto"/>
              <w:right w:val="single" w:sz="8" w:space="0" w:color="auto"/>
            </w:tcBorders>
            <w:shd w:val="clear" w:color="auto" w:fill="auto"/>
            <w:noWrap/>
            <w:vAlign w:val="center"/>
            <w:hideMark/>
          </w:tcPr>
          <w:p w14:paraId="1ECA33A9" w14:textId="77777777" w:rsidR="006E4EDB" w:rsidRPr="00E50C6A" w:rsidRDefault="006E4EDB" w:rsidP="00BB718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$30,340.00</w:t>
            </w:r>
          </w:p>
        </w:tc>
        <w:tc>
          <w:tcPr>
            <w:tcW w:w="1115" w:type="pct"/>
            <w:tcBorders>
              <w:top w:val="nil"/>
              <w:left w:val="nil"/>
              <w:bottom w:val="single" w:sz="8" w:space="0" w:color="auto"/>
              <w:right w:val="single" w:sz="8" w:space="0" w:color="auto"/>
            </w:tcBorders>
            <w:shd w:val="clear" w:color="auto" w:fill="auto"/>
            <w:noWrap/>
            <w:vAlign w:val="center"/>
            <w:hideMark/>
          </w:tcPr>
          <w:p w14:paraId="4E2C9C1B" w14:textId="77777777" w:rsidR="006E4EDB" w:rsidRPr="00E50C6A" w:rsidRDefault="006E4EDB" w:rsidP="00BB718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$29,384.99</w:t>
            </w:r>
          </w:p>
        </w:tc>
      </w:tr>
    </w:tbl>
    <w:p w14:paraId="28312B31" w14:textId="77777777" w:rsidR="00BB718B" w:rsidRDefault="00BB718B" w:rsidP="006E4EDB">
      <w:pPr>
        <w:spacing w:after="0"/>
        <w:rPr>
          <w:rFonts w:ascii="Arial" w:hAnsi="Arial" w:cs="Arial"/>
          <w:bCs/>
          <w:sz w:val="24"/>
        </w:rPr>
      </w:pPr>
    </w:p>
    <w:tbl>
      <w:tblPr>
        <w:tblW w:w="47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27"/>
        <w:gridCol w:w="1757"/>
        <w:gridCol w:w="1757"/>
        <w:gridCol w:w="1757"/>
        <w:gridCol w:w="1748"/>
      </w:tblGrid>
      <w:tr w:rsidR="006E4EDB" w:rsidRPr="00E50C6A" w14:paraId="0052FC89" w14:textId="77777777" w:rsidTr="00390D50">
        <w:trPr>
          <w:trHeight w:val="429"/>
          <w:tblHeader/>
        </w:trPr>
        <w:tc>
          <w:tcPr>
            <w:tcW w:w="1033" w:type="pct"/>
            <w:vAlign w:val="bottom"/>
          </w:tcPr>
          <w:p w14:paraId="0152BF7C" w14:textId="77777777" w:rsidR="006E4EDB" w:rsidRPr="00E50C6A" w:rsidRDefault="006E4EDB" w:rsidP="00E50C6A">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 </w:t>
            </w:r>
            <w:bookmarkStart w:id="200" w:name="Title_4"/>
            <w:bookmarkEnd w:id="200"/>
            <w:r>
              <w:rPr>
                <w:rFonts w:ascii="Arial" w:eastAsia="Times New Roman" w:hAnsi="Arial" w:cs="Arial"/>
                <w:color w:val="000000"/>
                <w:sz w:val="24"/>
                <w:szCs w:val="24"/>
                <w:lang w:eastAsia="en-AU"/>
              </w:rPr>
              <w:t>Figure 8, continued</w:t>
            </w:r>
          </w:p>
        </w:tc>
        <w:tc>
          <w:tcPr>
            <w:tcW w:w="993" w:type="pct"/>
            <w:vAlign w:val="center"/>
          </w:tcPr>
          <w:p w14:paraId="5E88B2DD" w14:textId="77777777" w:rsidR="006E4EDB" w:rsidRPr="00E50C6A" w:rsidRDefault="006E4EDB" w:rsidP="006E4EDB">
            <w:pPr>
              <w:spacing w:after="0" w:line="240" w:lineRule="auto"/>
              <w:jc w:val="center"/>
              <w:rPr>
                <w:rFonts w:ascii="Arial" w:eastAsia="Times New Roman" w:hAnsi="Arial" w:cs="Arial"/>
                <w:b/>
                <w:bCs/>
                <w:color w:val="000000"/>
                <w:sz w:val="24"/>
                <w:szCs w:val="24"/>
                <w:lang w:eastAsia="en-AU"/>
              </w:rPr>
            </w:pPr>
            <w:r w:rsidRPr="00E50C6A">
              <w:rPr>
                <w:rFonts w:ascii="Arial" w:eastAsia="Times New Roman" w:hAnsi="Arial" w:cs="Arial"/>
                <w:b/>
                <w:bCs/>
                <w:color w:val="000000"/>
                <w:sz w:val="24"/>
                <w:szCs w:val="24"/>
                <w:lang w:eastAsia="en-AU"/>
              </w:rPr>
              <w:t>2014-15</w:t>
            </w:r>
          </w:p>
        </w:tc>
        <w:tc>
          <w:tcPr>
            <w:tcW w:w="993" w:type="pct"/>
            <w:shd w:val="clear" w:color="auto" w:fill="auto"/>
            <w:noWrap/>
            <w:vAlign w:val="center"/>
            <w:hideMark/>
          </w:tcPr>
          <w:p w14:paraId="3D42B8AE" w14:textId="77777777" w:rsidR="006E4EDB" w:rsidRPr="00E50C6A" w:rsidRDefault="006E4EDB" w:rsidP="00E50C6A">
            <w:pPr>
              <w:spacing w:after="0" w:line="240" w:lineRule="auto"/>
              <w:jc w:val="center"/>
              <w:rPr>
                <w:rFonts w:ascii="Arial" w:eastAsia="Times New Roman" w:hAnsi="Arial" w:cs="Arial"/>
                <w:b/>
                <w:bCs/>
                <w:color w:val="000000"/>
                <w:sz w:val="24"/>
                <w:szCs w:val="24"/>
                <w:lang w:eastAsia="en-AU"/>
              </w:rPr>
            </w:pPr>
            <w:r w:rsidRPr="00E50C6A">
              <w:rPr>
                <w:rFonts w:ascii="Arial" w:eastAsia="Times New Roman" w:hAnsi="Arial" w:cs="Arial"/>
                <w:b/>
                <w:bCs/>
                <w:color w:val="000000"/>
                <w:sz w:val="24"/>
                <w:szCs w:val="24"/>
                <w:lang w:eastAsia="en-AU"/>
              </w:rPr>
              <w:t>2015-16</w:t>
            </w:r>
          </w:p>
        </w:tc>
        <w:tc>
          <w:tcPr>
            <w:tcW w:w="993" w:type="pct"/>
            <w:shd w:val="clear" w:color="auto" w:fill="auto"/>
            <w:noWrap/>
            <w:vAlign w:val="center"/>
            <w:hideMark/>
          </w:tcPr>
          <w:p w14:paraId="43B3BBD5" w14:textId="77777777" w:rsidR="006E4EDB" w:rsidRPr="00E50C6A" w:rsidRDefault="006E4EDB" w:rsidP="00E50C6A">
            <w:pPr>
              <w:spacing w:after="0" w:line="240" w:lineRule="auto"/>
              <w:jc w:val="center"/>
              <w:rPr>
                <w:rFonts w:ascii="Arial" w:eastAsia="Times New Roman" w:hAnsi="Arial" w:cs="Arial"/>
                <w:b/>
                <w:bCs/>
                <w:color w:val="000000"/>
                <w:sz w:val="24"/>
                <w:szCs w:val="24"/>
                <w:lang w:eastAsia="en-AU"/>
              </w:rPr>
            </w:pPr>
            <w:r w:rsidRPr="00E50C6A">
              <w:rPr>
                <w:rFonts w:ascii="Arial" w:eastAsia="Times New Roman" w:hAnsi="Arial" w:cs="Arial"/>
                <w:b/>
                <w:bCs/>
                <w:color w:val="000000"/>
                <w:sz w:val="24"/>
                <w:szCs w:val="24"/>
                <w:lang w:eastAsia="en-AU"/>
              </w:rPr>
              <w:t>2016-17</w:t>
            </w:r>
          </w:p>
        </w:tc>
        <w:tc>
          <w:tcPr>
            <w:tcW w:w="990" w:type="pct"/>
            <w:vAlign w:val="center"/>
          </w:tcPr>
          <w:p w14:paraId="6139C54D" w14:textId="77777777" w:rsidR="006E4EDB" w:rsidRPr="00E50C6A" w:rsidRDefault="006E4EDB" w:rsidP="006E4EDB">
            <w:pPr>
              <w:spacing w:after="0" w:line="240" w:lineRule="auto"/>
              <w:rPr>
                <w:rFonts w:ascii="Arial" w:eastAsia="Times New Roman" w:hAnsi="Arial" w:cs="Arial"/>
                <w:b/>
                <w:bCs/>
                <w:color w:val="000000"/>
                <w:sz w:val="24"/>
                <w:szCs w:val="24"/>
                <w:lang w:eastAsia="en-AU"/>
              </w:rPr>
            </w:pPr>
            <w:r w:rsidRPr="00E50C6A">
              <w:rPr>
                <w:rFonts w:ascii="Arial" w:eastAsia="Times New Roman" w:hAnsi="Arial" w:cs="Arial"/>
                <w:b/>
                <w:bCs/>
                <w:color w:val="000000"/>
                <w:sz w:val="24"/>
                <w:szCs w:val="24"/>
                <w:lang w:eastAsia="en-AU"/>
              </w:rPr>
              <w:t>2017-18</w:t>
            </w:r>
          </w:p>
        </w:tc>
      </w:tr>
      <w:tr w:rsidR="006E4EDB" w:rsidRPr="00E50C6A" w14:paraId="7DFDF6A1" w14:textId="77777777" w:rsidTr="006E4EDB">
        <w:trPr>
          <w:trHeight w:val="429"/>
        </w:trPr>
        <w:tc>
          <w:tcPr>
            <w:tcW w:w="1033" w:type="pct"/>
            <w:vAlign w:val="center"/>
          </w:tcPr>
          <w:p w14:paraId="0AAEB3EB" w14:textId="77777777" w:rsidR="006E4EDB" w:rsidRPr="00E50C6A" w:rsidRDefault="006E4EDB" w:rsidP="00E50C6A">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Scenario 1: DMS</w:t>
            </w:r>
          </w:p>
        </w:tc>
        <w:tc>
          <w:tcPr>
            <w:tcW w:w="993" w:type="pct"/>
            <w:vAlign w:val="center"/>
          </w:tcPr>
          <w:p w14:paraId="6B38EEEC" w14:textId="77777777" w:rsidR="006E4EDB" w:rsidRPr="00E50C6A" w:rsidRDefault="006E4EDB" w:rsidP="006E4ED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$11,195.47</w:t>
            </w:r>
          </w:p>
        </w:tc>
        <w:tc>
          <w:tcPr>
            <w:tcW w:w="993" w:type="pct"/>
            <w:shd w:val="clear" w:color="auto" w:fill="auto"/>
            <w:noWrap/>
            <w:vAlign w:val="center"/>
            <w:hideMark/>
          </w:tcPr>
          <w:p w14:paraId="0232D6EE" w14:textId="77777777" w:rsidR="006E4EDB" w:rsidRPr="00E50C6A" w:rsidRDefault="006E4EDB" w:rsidP="00E50C6A">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$10,843.07</w:t>
            </w:r>
          </w:p>
        </w:tc>
        <w:tc>
          <w:tcPr>
            <w:tcW w:w="993" w:type="pct"/>
            <w:shd w:val="clear" w:color="auto" w:fill="auto"/>
            <w:noWrap/>
            <w:vAlign w:val="center"/>
            <w:hideMark/>
          </w:tcPr>
          <w:p w14:paraId="736C0EBF" w14:textId="77777777" w:rsidR="006E4EDB" w:rsidRPr="00E50C6A" w:rsidRDefault="006E4EDB" w:rsidP="00E50C6A">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$10,501.76</w:t>
            </w:r>
          </w:p>
        </w:tc>
        <w:tc>
          <w:tcPr>
            <w:tcW w:w="990" w:type="pct"/>
            <w:vAlign w:val="center"/>
          </w:tcPr>
          <w:p w14:paraId="137EAEA0" w14:textId="77777777" w:rsidR="006E4EDB" w:rsidRPr="00E50C6A" w:rsidRDefault="006E4EDB" w:rsidP="006E4EDB">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$10,171.20</w:t>
            </w:r>
          </w:p>
        </w:tc>
      </w:tr>
      <w:tr w:rsidR="006E4EDB" w:rsidRPr="00E50C6A" w14:paraId="34B0DD4D" w14:textId="77777777" w:rsidTr="006E4EDB">
        <w:trPr>
          <w:trHeight w:val="429"/>
        </w:trPr>
        <w:tc>
          <w:tcPr>
            <w:tcW w:w="1033" w:type="pct"/>
            <w:vAlign w:val="center"/>
          </w:tcPr>
          <w:p w14:paraId="12EB7BC5" w14:textId="77777777" w:rsidR="006E4EDB" w:rsidRPr="00E50C6A" w:rsidRDefault="006E4EDB" w:rsidP="00E50C6A">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Scenario 2: ESS Funding Level 1</w:t>
            </w:r>
          </w:p>
        </w:tc>
        <w:tc>
          <w:tcPr>
            <w:tcW w:w="993" w:type="pct"/>
            <w:vAlign w:val="center"/>
          </w:tcPr>
          <w:p w14:paraId="6EF80304" w14:textId="77777777" w:rsidR="006E4EDB" w:rsidRPr="00E50C6A" w:rsidRDefault="006E4EDB" w:rsidP="006E4ED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$13,751.62</w:t>
            </w:r>
          </w:p>
        </w:tc>
        <w:tc>
          <w:tcPr>
            <w:tcW w:w="993" w:type="pct"/>
            <w:shd w:val="clear" w:color="auto" w:fill="auto"/>
            <w:noWrap/>
            <w:vAlign w:val="center"/>
            <w:hideMark/>
          </w:tcPr>
          <w:p w14:paraId="3B98911C" w14:textId="77777777" w:rsidR="006E4EDB" w:rsidRPr="00E50C6A" w:rsidRDefault="006E4EDB" w:rsidP="00E50C6A">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$13,318.76</w:t>
            </w:r>
          </w:p>
        </w:tc>
        <w:tc>
          <w:tcPr>
            <w:tcW w:w="993" w:type="pct"/>
            <w:shd w:val="clear" w:color="auto" w:fill="auto"/>
            <w:noWrap/>
            <w:vAlign w:val="center"/>
            <w:hideMark/>
          </w:tcPr>
          <w:p w14:paraId="6703C54C" w14:textId="77777777" w:rsidR="006E4EDB" w:rsidRPr="00E50C6A" w:rsidRDefault="006E4EDB" w:rsidP="00E50C6A">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$12,899.53</w:t>
            </w:r>
          </w:p>
        </w:tc>
        <w:tc>
          <w:tcPr>
            <w:tcW w:w="990" w:type="pct"/>
            <w:vAlign w:val="center"/>
          </w:tcPr>
          <w:p w14:paraId="16B4E48E" w14:textId="77777777" w:rsidR="006E4EDB" w:rsidRPr="00E50C6A" w:rsidRDefault="006E4EDB" w:rsidP="006E4EDB">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$12,493.49</w:t>
            </w:r>
          </w:p>
        </w:tc>
      </w:tr>
      <w:tr w:rsidR="006E4EDB" w:rsidRPr="00E50C6A" w14:paraId="5ADA4929" w14:textId="77777777" w:rsidTr="006E4EDB">
        <w:trPr>
          <w:trHeight w:val="922"/>
        </w:trPr>
        <w:tc>
          <w:tcPr>
            <w:tcW w:w="1033" w:type="pct"/>
            <w:vAlign w:val="center"/>
          </w:tcPr>
          <w:p w14:paraId="002691EB" w14:textId="77777777" w:rsidR="006E4EDB" w:rsidRPr="00E50C6A" w:rsidRDefault="006E4EDB" w:rsidP="00E50C6A">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Scenario 3: ESS Funding Level 2</w:t>
            </w:r>
          </w:p>
        </w:tc>
        <w:tc>
          <w:tcPr>
            <w:tcW w:w="993" w:type="pct"/>
            <w:vAlign w:val="center"/>
          </w:tcPr>
          <w:p w14:paraId="62B887A9" w14:textId="77777777" w:rsidR="006E4EDB" w:rsidRPr="00E50C6A" w:rsidRDefault="006E4EDB" w:rsidP="006E4EDB">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$28,460.04</w:t>
            </w:r>
          </w:p>
        </w:tc>
        <w:tc>
          <w:tcPr>
            <w:tcW w:w="993" w:type="pct"/>
            <w:shd w:val="clear" w:color="auto" w:fill="auto"/>
            <w:noWrap/>
            <w:vAlign w:val="center"/>
            <w:hideMark/>
          </w:tcPr>
          <w:p w14:paraId="5C394D70" w14:textId="77777777" w:rsidR="006E4EDB" w:rsidRPr="00E50C6A" w:rsidRDefault="006E4EDB" w:rsidP="00E50C6A">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$27,564.20</w:t>
            </w:r>
          </w:p>
        </w:tc>
        <w:tc>
          <w:tcPr>
            <w:tcW w:w="993" w:type="pct"/>
            <w:shd w:val="clear" w:color="auto" w:fill="auto"/>
            <w:noWrap/>
            <w:vAlign w:val="center"/>
            <w:hideMark/>
          </w:tcPr>
          <w:p w14:paraId="1D5CB142" w14:textId="77777777" w:rsidR="006E4EDB" w:rsidRPr="00E50C6A" w:rsidRDefault="006E4EDB" w:rsidP="00E50C6A">
            <w:pPr>
              <w:spacing w:after="0" w:line="240" w:lineRule="auto"/>
              <w:jc w:val="center"/>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$26,696.56</w:t>
            </w:r>
          </w:p>
        </w:tc>
        <w:tc>
          <w:tcPr>
            <w:tcW w:w="990" w:type="pct"/>
            <w:vAlign w:val="center"/>
          </w:tcPr>
          <w:p w14:paraId="0808F637" w14:textId="77777777" w:rsidR="006E4EDB" w:rsidRPr="00E50C6A" w:rsidRDefault="006E4EDB" w:rsidP="006E4EDB">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$25,856.23</w:t>
            </w:r>
          </w:p>
        </w:tc>
      </w:tr>
    </w:tbl>
    <w:p w14:paraId="0335980B" w14:textId="77777777" w:rsidR="00304D40" w:rsidRDefault="00304D40" w:rsidP="001B14A2">
      <w:pPr>
        <w:rPr>
          <w:rFonts w:ascii="Arial" w:hAnsi="Arial" w:cs="Arial"/>
          <w:bCs/>
          <w:sz w:val="24"/>
        </w:rPr>
      </w:pPr>
    </w:p>
    <w:p w14:paraId="3A1691EC" w14:textId="77777777" w:rsidR="00304D40" w:rsidRDefault="00304D40" w:rsidP="00304D40">
      <w:r>
        <w:br w:type="page"/>
      </w:r>
    </w:p>
    <w:p w14:paraId="0EE8DFDC" w14:textId="77777777" w:rsidR="001B14A2" w:rsidRPr="001B14A2" w:rsidRDefault="001B14A2" w:rsidP="001B14A2">
      <w:pPr>
        <w:rPr>
          <w:rFonts w:ascii="Arial" w:hAnsi="Arial" w:cs="Arial"/>
          <w:bCs/>
          <w:sz w:val="24"/>
        </w:rPr>
      </w:pPr>
      <w:r w:rsidRPr="001B14A2">
        <w:rPr>
          <w:rFonts w:ascii="Arial" w:hAnsi="Arial" w:cs="Arial"/>
          <w:bCs/>
          <w:sz w:val="24"/>
        </w:rPr>
        <w:lastRenderedPageBreak/>
        <w:t xml:space="preserve">NDS continues to urge the Government to increase the fees for the DES programs. We are also asking that the program design </w:t>
      </w:r>
      <w:r w:rsidR="00F611AE">
        <w:rPr>
          <w:rFonts w:ascii="Arial" w:hAnsi="Arial" w:cs="Arial"/>
          <w:bCs/>
          <w:sz w:val="24"/>
        </w:rPr>
        <w:t>be</w:t>
      </w:r>
      <w:r w:rsidRPr="001B14A2">
        <w:rPr>
          <w:rFonts w:ascii="Arial" w:hAnsi="Arial" w:cs="Arial"/>
          <w:bCs/>
          <w:sz w:val="24"/>
        </w:rPr>
        <w:t xml:space="preserve"> reviewed before the conclusion of the current contract</w:t>
      </w:r>
      <w:r w:rsidR="004C012E">
        <w:rPr>
          <w:rFonts w:ascii="Arial" w:hAnsi="Arial" w:cs="Arial"/>
          <w:bCs/>
          <w:sz w:val="24"/>
        </w:rPr>
        <w:t>,</w:t>
      </w:r>
      <w:r w:rsidRPr="001B14A2">
        <w:rPr>
          <w:rFonts w:ascii="Arial" w:hAnsi="Arial" w:cs="Arial"/>
          <w:bCs/>
          <w:sz w:val="24"/>
        </w:rPr>
        <w:t xml:space="preserve"> and </w:t>
      </w:r>
      <w:r w:rsidR="00A534CB">
        <w:rPr>
          <w:rFonts w:ascii="Arial" w:hAnsi="Arial" w:cs="Arial"/>
          <w:bCs/>
          <w:sz w:val="24"/>
        </w:rPr>
        <w:t xml:space="preserve">for </w:t>
      </w:r>
      <w:r w:rsidR="00F611AE">
        <w:rPr>
          <w:rFonts w:ascii="Arial" w:hAnsi="Arial" w:cs="Arial"/>
          <w:bCs/>
          <w:sz w:val="24"/>
        </w:rPr>
        <w:t>consideration of</w:t>
      </w:r>
      <w:r w:rsidRPr="001B14A2">
        <w:rPr>
          <w:rFonts w:ascii="Arial" w:hAnsi="Arial" w:cs="Arial"/>
          <w:bCs/>
          <w:sz w:val="24"/>
        </w:rPr>
        <w:t xml:space="preserve"> how </w:t>
      </w:r>
      <w:r w:rsidR="00447F2C">
        <w:rPr>
          <w:rFonts w:ascii="Arial" w:hAnsi="Arial" w:cs="Arial"/>
          <w:bCs/>
          <w:sz w:val="24"/>
        </w:rPr>
        <w:t>to more closely align it</w:t>
      </w:r>
      <w:r w:rsidRPr="001B14A2">
        <w:rPr>
          <w:rFonts w:ascii="Arial" w:hAnsi="Arial" w:cs="Arial"/>
          <w:bCs/>
          <w:sz w:val="24"/>
        </w:rPr>
        <w:t xml:space="preserve"> with NDIS principles. </w:t>
      </w:r>
    </w:p>
    <w:p w14:paraId="16E0AC3A" w14:textId="77777777" w:rsidR="001B14A2" w:rsidRPr="001B14A2" w:rsidRDefault="001B14A2" w:rsidP="001F094B">
      <w:pPr>
        <w:pStyle w:val="Heading2"/>
      </w:pPr>
      <w:r w:rsidRPr="001B14A2">
        <w:t>DMS contract (for CRS Australia business)</w:t>
      </w:r>
    </w:p>
    <w:p w14:paraId="443BF47A" w14:textId="77777777" w:rsidR="001B14A2" w:rsidRPr="001B14A2" w:rsidRDefault="001B14A2" w:rsidP="001B14A2">
      <w:pPr>
        <w:rPr>
          <w:rFonts w:ascii="Arial" w:hAnsi="Arial" w:cs="Arial"/>
          <w:bCs/>
          <w:sz w:val="24"/>
        </w:rPr>
      </w:pPr>
      <w:r w:rsidRPr="001B14A2">
        <w:rPr>
          <w:rFonts w:ascii="Arial" w:hAnsi="Arial" w:cs="Arial"/>
          <w:bCs/>
          <w:sz w:val="24"/>
        </w:rPr>
        <w:t xml:space="preserve">NDS welcomed the 2014-15 </w:t>
      </w:r>
      <w:r w:rsidR="004C012E">
        <w:rPr>
          <w:rFonts w:ascii="Arial" w:hAnsi="Arial" w:cs="Arial"/>
          <w:bCs/>
          <w:sz w:val="24"/>
        </w:rPr>
        <w:t>f</w:t>
      </w:r>
      <w:r w:rsidRPr="001B14A2">
        <w:rPr>
          <w:rFonts w:ascii="Arial" w:hAnsi="Arial" w:cs="Arial"/>
          <w:bCs/>
          <w:sz w:val="24"/>
        </w:rPr>
        <w:t xml:space="preserve">ederal Budget announcement that DMS business held by CRS (47% of all DMS) would be tendered to non-government providers. This was an important vote of confidence by the Government in non-government providers. The result of this tender (recently announced) will see 30,000 people transition to alternative providers in March 2015. </w:t>
      </w:r>
    </w:p>
    <w:p w14:paraId="4B1ECA21" w14:textId="77777777" w:rsidR="001B14A2" w:rsidRPr="001B14A2" w:rsidRDefault="001B14A2" w:rsidP="001B14A2">
      <w:pPr>
        <w:rPr>
          <w:rFonts w:ascii="Arial" w:hAnsi="Arial" w:cs="Arial"/>
          <w:bCs/>
          <w:sz w:val="24"/>
        </w:rPr>
      </w:pPr>
      <w:r w:rsidRPr="001B14A2">
        <w:rPr>
          <w:rFonts w:ascii="Arial" w:hAnsi="Arial" w:cs="Arial"/>
          <w:bCs/>
          <w:sz w:val="24"/>
        </w:rPr>
        <w:t>All DMS providers now have contracts until 2018, which is in line with the ESS contracts.</w:t>
      </w:r>
    </w:p>
    <w:p w14:paraId="773D3DB6" w14:textId="77777777" w:rsidR="001B14A2" w:rsidRPr="001B14A2" w:rsidRDefault="001B14A2" w:rsidP="001F094B">
      <w:pPr>
        <w:pStyle w:val="Heading2"/>
      </w:pPr>
      <w:r w:rsidRPr="001B14A2">
        <w:t>ESS business reallocation</w:t>
      </w:r>
    </w:p>
    <w:p w14:paraId="03755446" w14:textId="77777777" w:rsidR="001B14A2" w:rsidRPr="001B14A2" w:rsidRDefault="001B14A2" w:rsidP="001B14A2">
      <w:pPr>
        <w:rPr>
          <w:rFonts w:ascii="Arial" w:hAnsi="Arial" w:cs="Arial"/>
          <w:bCs/>
          <w:sz w:val="24"/>
        </w:rPr>
      </w:pPr>
      <w:r w:rsidRPr="001B14A2">
        <w:rPr>
          <w:rFonts w:ascii="Arial" w:hAnsi="Arial" w:cs="Arial"/>
          <w:bCs/>
          <w:sz w:val="24"/>
        </w:rPr>
        <w:t>ESS business reallocation is scheduled for April 2015, and will be based on the December 2014 star ratings.  All ESS providers with contracts rated at 2-star and below (including those providers with insufficient data) will be in scope for reallocation. The transition is e</w:t>
      </w:r>
      <w:r w:rsidR="004C012E">
        <w:rPr>
          <w:rFonts w:ascii="Arial" w:hAnsi="Arial" w:cs="Arial"/>
          <w:bCs/>
          <w:sz w:val="24"/>
        </w:rPr>
        <w:t>xpected to be completed by mid-</w:t>
      </w:r>
      <w:r w:rsidRPr="001B14A2">
        <w:rPr>
          <w:rFonts w:ascii="Arial" w:hAnsi="Arial" w:cs="Arial"/>
          <w:bCs/>
          <w:sz w:val="24"/>
        </w:rPr>
        <w:t xml:space="preserve">May 2015.  </w:t>
      </w:r>
    </w:p>
    <w:p w14:paraId="472EBD4C" w14:textId="77777777" w:rsidR="001B14A2" w:rsidRPr="001B14A2" w:rsidRDefault="001B14A2" w:rsidP="001F094B">
      <w:pPr>
        <w:pStyle w:val="Heading2"/>
      </w:pPr>
      <w:r w:rsidRPr="001B14A2">
        <w:t>Profile of DES participants</w:t>
      </w:r>
    </w:p>
    <w:p w14:paraId="6720EB77" w14:textId="77777777" w:rsidR="001B14A2" w:rsidRPr="001B14A2" w:rsidRDefault="001B14A2" w:rsidP="001B14A2">
      <w:pPr>
        <w:rPr>
          <w:rFonts w:ascii="Arial" w:hAnsi="Arial" w:cs="Arial"/>
          <w:bCs/>
          <w:sz w:val="24"/>
        </w:rPr>
      </w:pPr>
      <w:r w:rsidRPr="001B14A2">
        <w:rPr>
          <w:rFonts w:ascii="Arial" w:hAnsi="Arial" w:cs="Arial"/>
          <w:bCs/>
          <w:sz w:val="24"/>
        </w:rPr>
        <w:t>Since 2010, there has been a noticeable change in the profile of DES participants</w:t>
      </w:r>
      <w:r w:rsidR="002F198A">
        <w:rPr>
          <w:rFonts w:ascii="Arial" w:hAnsi="Arial" w:cs="Arial"/>
          <w:bCs/>
          <w:sz w:val="24"/>
        </w:rPr>
        <w:t xml:space="preserve"> (Figure </w:t>
      </w:r>
      <w:r w:rsidR="004733A4">
        <w:rPr>
          <w:rFonts w:ascii="Arial" w:hAnsi="Arial" w:cs="Arial"/>
          <w:bCs/>
          <w:sz w:val="24"/>
        </w:rPr>
        <w:t>9</w:t>
      </w:r>
      <w:r w:rsidR="002F198A">
        <w:rPr>
          <w:rFonts w:ascii="Arial" w:hAnsi="Arial" w:cs="Arial"/>
          <w:bCs/>
          <w:sz w:val="24"/>
        </w:rPr>
        <w:t>)</w:t>
      </w:r>
      <w:r w:rsidRPr="001B14A2">
        <w:rPr>
          <w:rFonts w:ascii="Arial" w:hAnsi="Arial" w:cs="Arial"/>
          <w:bCs/>
          <w:sz w:val="24"/>
        </w:rPr>
        <w:t>. Uncapping the program has resulted in substantial growth, particularly among people with psychiatric and physical disability.</w:t>
      </w:r>
    </w:p>
    <w:p w14:paraId="74F632C8" w14:textId="77777777" w:rsidR="001B14A2" w:rsidRPr="001B14A2" w:rsidRDefault="00E54DA4" w:rsidP="001C7EC5">
      <w:pPr>
        <w:pStyle w:val="Subtitle"/>
      </w:pPr>
      <w:r>
        <w:t xml:space="preserve">Figure </w:t>
      </w:r>
      <w:r w:rsidR="004733A4">
        <w:t>9</w:t>
      </w:r>
      <w:r w:rsidR="001C7EC5">
        <w:t>: p</w:t>
      </w:r>
      <w:r w:rsidR="001B14A2" w:rsidRPr="001B14A2">
        <w:t>rimary disability of DES participants (%), 2011 and 2014</w:t>
      </w:r>
    </w:p>
    <w:p w14:paraId="24071AD8" w14:textId="77777777" w:rsidR="001B14A2" w:rsidRDefault="001B14A2" w:rsidP="001B14A2">
      <w:pPr>
        <w:rPr>
          <w:rFonts w:ascii="Arial" w:hAnsi="Arial" w:cs="Arial"/>
          <w:bCs/>
          <w:sz w:val="24"/>
        </w:rPr>
      </w:pPr>
      <w:r w:rsidRPr="001B14A2">
        <w:rPr>
          <w:rFonts w:ascii="Arial" w:hAnsi="Arial" w:cs="Arial"/>
          <w:noProof/>
          <w:sz w:val="24"/>
          <w:lang w:eastAsia="en-AU"/>
        </w:rPr>
        <w:drawing>
          <wp:inline distT="0" distB="0" distL="0" distR="0" wp14:anchorId="51110638" wp14:editId="152866CA">
            <wp:extent cx="5048250" cy="2914650"/>
            <wp:effectExtent l="0" t="0" r="19050" b="19050"/>
            <wp:docPr id="3" name="Chart 3" descr="Please see accessible table directly below figure." title="Figure 9: primary disability of DES participants (percentage), 2011 and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9D916F" w14:textId="77777777" w:rsidR="00E50C6A" w:rsidRPr="001B14A2" w:rsidRDefault="00E50C6A" w:rsidP="00E50C6A">
      <w:pPr>
        <w:pStyle w:val="Subtitle"/>
      </w:pPr>
      <w:r>
        <w:lastRenderedPageBreak/>
        <w:t>Figure 9: p</w:t>
      </w:r>
      <w:r w:rsidRPr="001B14A2">
        <w:t>rimary disability of DES participants (%), 2011 and 2014</w:t>
      </w:r>
    </w:p>
    <w:tbl>
      <w:tblPr>
        <w:tblW w:w="8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842"/>
        <w:gridCol w:w="1681"/>
      </w:tblGrid>
      <w:tr w:rsidR="00BB718B" w:rsidRPr="00C8438F" w14:paraId="405AD3B0" w14:textId="77777777" w:rsidTr="00D84A32">
        <w:trPr>
          <w:trHeight w:val="300"/>
          <w:tblHeader/>
        </w:trPr>
        <w:tc>
          <w:tcPr>
            <w:tcW w:w="4977" w:type="dxa"/>
            <w:shd w:val="clear" w:color="auto" w:fill="auto"/>
            <w:noWrap/>
            <w:vAlign w:val="bottom"/>
            <w:hideMark/>
          </w:tcPr>
          <w:p w14:paraId="1AE1154F" w14:textId="77777777" w:rsidR="00BB718B" w:rsidRPr="00E50C6A" w:rsidRDefault="00BB718B" w:rsidP="00D84A32">
            <w:pPr>
              <w:spacing w:after="0" w:line="240" w:lineRule="auto"/>
              <w:ind w:left="49"/>
              <w:rPr>
                <w:rFonts w:ascii="Arial" w:eastAsia="Times New Roman" w:hAnsi="Arial" w:cs="Arial"/>
                <w:color w:val="000000"/>
                <w:sz w:val="24"/>
                <w:szCs w:val="24"/>
                <w:lang w:eastAsia="en-AU"/>
              </w:rPr>
            </w:pPr>
            <w:bookmarkStart w:id="201" w:name="Title_5"/>
            <w:bookmarkEnd w:id="201"/>
          </w:p>
        </w:tc>
        <w:tc>
          <w:tcPr>
            <w:tcW w:w="1842" w:type="dxa"/>
            <w:shd w:val="clear" w:color="auto" w:fill="auto"/>
            <w:noWrap/>
            <w:vAlign w:val="bottom"/>
            <w:hideMark/>
          </w:tcPr>
          <w:p w14:paraId="47FB4433"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2011</w:t>
            </w:r>
          </w:p>
        </w:tc>
        <w:tc>
          <w:tcPr>
            <w:tcW w:w="1681" w:type="dxa"/>
            <w:shd w:val="clear" w:color="auto" w:fill="auto"/>
            <w:noWrap/>
            <w:vAlign w:val="bottom"/>
            <w:hideMark/>
          </w:tcPr>
          <w:p w14:paraId="0D7443D4"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2014</w:t>
            </w:r>
          </w:p>
        </w:tc>
      </w:tr>
      <w:tr w:rsidR="00BB718B" w:rsidRPr="00C8438F" w14:paraId="25E5631A" w14:textId="77777777" w:rsidTr="00D84A32">
        <w:trPr>
          <w:trHeight w:val="300"/>
        </w:trPr>
        <w:tc>
          <w:tcPr>
            <w:tcW w:w="4977" w:type="dxa"/>
            <w:shd w:val="clear" w:color="auto" w:fill="auto"/>
            <w:vAlign w:val="bottom"/>
            <w:hideMark/>
          </w:tcPr>
          <w:p w14:paraId="7777DF33" w14:textId="77777777" w:rsidR="00BB718B" w:rsidRPr="00E50C6A" w:rsidRDefault="00BB718B" w:rsidP="00D84A32">
            <w:pPr>
              <w:spacing w:after="0" w:line="240" w:lineRule="auto"/>
              <w:rPr>
                <w:rFonts w:ascii="Arial" w:eastAsia="Times New Roman" w:hAnsi="Arial" w:cs="Arial"/>
                <w:sz w:val="24"/>
                <w:szCs w:val="24"/>
                <w:lang w:eastAsia="en-AU"/>
              </w:rPr>
            </w:pPr>
            <w:r w:rsidRPr="00E50C6A">
              <w:rPr>
                <w:rFonts w:ascii="Arial" w:eastAsia="Times New Roman" w:hAnsi="Arial" w:cs="Arial"/>
                <w:sz w:val="24"/>
                <w:szCs w:val="24"/>
                <w:lang w:eastAsia="en-AU"/>
              </w:rPr>
              <w:t>Physical</w:t>
            </w:r>
          </w:p>
        </w:tc>
        <w:tc>
          <w:tcPr>
            <w:tcW w:w="1842" w:type="dxa"/>
            <w:shd w:val="clear" w:color="auto" w:fill="auto"/>
            <w:noWrap/>
            <w:vAlign w:val="bottom"/>
            <w:hideMark/>
          </w:tcPr>
          <w:p w14:paraId="4CBAA6AE"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42.2</w:t>
            </w:r>
          </w:p>
        </w:tc>
        <w:tc>
          <w:tcPr>
            <w:tcW w:w="1681" w:type="dxa"/>
            <w:shd w:val="clear" w:color="auto" w:fill="auto"/>
            <w:noWrap/>
            <w:vAlign w:val="bottom"/>
            <w:hideMark/>
          </w:tcPr>
          <w:p w14:paraId="2F99447E"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43.7</w:t>
            </w:r>
          </w:p>
        </w:tc>
      </w:tr>
      <w:tr w:rsidR="00BB718B" w:rsidRPr="00C8438F" w14:paraId="07C5D9FF" w14:textId="77777777" w:rsidTr="00D84A32">
        <w:trPr>
          <w:trHeight w:val="300"/>
        </w:trPr>
        <w:tc>
          <w:tcPr>
            <w:tcW w:w="4977" w:type="dxa"/>
            <w:shd w:val="clear" w:color="auto" w:fill="auto"/>
            <w:vAlign w:val="bottom"/>
            <w:hideMark/>
          </w:tcPr>
          <w:p w14:paraId="6C17A14D" w14:textId="77777777" w:rsidR="00BB718B" w:rsidRPr="00E50C6A" w:rsidRDefault="00BB718B" w:rsidP="00D84A32">
            <w:pPr>
              <w:spacing w:after="0" w:line="240" w:lineRule="auto"/>
              <w:rPr>
                <w:rFonts w:ascii="Arial" w:eastAsia="Times New Roman" w:hAnsi="Arial" w:cs="Arial"/>
                <w:sz w:val="24"/>
                <w:szCs w:val="24"/>
                <w:lang w:eastAsia="en-AU"/>
              </w:rPr>
            </w:pPr>
            <w:r w:rsidRPr="00E50C6A">
              <w:rPr>
                <w:rFonts w:ascii="Arial" w:eastAsia="Times New Roman" w:hAnsi="Arial" w:cs="Arial"/>
                <w:sz w:val="24"/>
                <w:szCs w:val="24"/>
                <w:lang w:eastAsia="en-AU"/>
              </w:rPr>
              <w:t>Psychiatric</w:t>
            </w:r>
          </w:p>
        </w:tc>
        <w:tc>
          <w:tcPr>
            <w:tcW w:w="1842" w:type="dxa"/>
            <w:shd w:val="clear" w:color="auto" w:fill="auto"/>
            <w:noWrap/>
            <w:vAlign w:val="bottom"/>
            <w:hideMark/>
          </w:tcPr>
          <w:p w14:paraId="61940467"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31.7</w:t>
            </w:r>
          </w:p>
        </w:tc>
        <w:tc>
          <w:tcPr>
            <w:tcW w:w="1681" w:type="dxa"/>
            <w:shd w:val="clear" w:color="auto" w:fill="auto"/>
            <w:noWrap/>
            <w:vAlign w:val="bottom"/>
            <w:hideMark/>
          </w:tcPr>
          <w:p w14:paraId="0679BFF5"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34.9</w:t>
            </w:r>
          </w:p>
        </w:tc>
      </w:tr>
      <w:tr w:rsidR="00BB718B" w:rsidRPr="00C8438F" w14:paraId="564A0BBD" w14:textId="77777777" w:rsidTr="00D84A32">
        <w:trPr>
          <w:trHeight w:val="495"/>
        </w:trPr>
        <w:tc>
          <w:tcPr>
            <w:tcW w:w="4977" w:type="dxa"/>
            <w:shd w:val="clear" w:color="auto" w:fill="auto"/>
            <w:vAlign w:val="bottom"/>
            <w:hideMark/>
          </w:tcPr>
          <w:p w14:paraId="4C48C3C2" w14:textId="77777777" w:rsidR="00BB718B" w:rsidRPr="00E50C6A" w:rsidRDefault="00BB718B" w:rsidP="00D84A32">
            <w:pPr>
              <w:spacing w:after="0" w:line="240" w:lineRule="auto"/>
              <w:ind w:left="49"/>
              <w:rPr>
                <w:rFonts w:ascii="Arial" w:eastAsia="Times New Roman" w:hAnsi="Arial" w:cs="Arial"/>
                <w:sz w:val="24"/>
                <w:szCs w:val="24"/>
                <w:lang w:eastAsia="en-AU"/>
              </w:rPr>
            </w:pPr>
            <w:r w:rsidRPr="00E50C6A">
              <w:rPr>
                <w:rFonts w:ascii="Arial" w:eastAsia="Times New Roman" w:hAnsi="Arial" w:cs="Arial"/>
                <w:sz w:val="24"/>
                <w:szCs w:val="24"/>
                <w:lang w:eastAsia="en-AU"/>
              </w:rPr>
              <w:t>Specific Learning/ADD (other than Intellectual)</w:t>
            </w:r>
          </w:p>
        </w:tc>
        <w:tc>
          <w:tcPr>
            <w:tcW w:w="1842" w:type="dxa"/>
            <w:shd w:val="clear" w:color="auto" w:fill="auto"/>
            <w:noWrap/>
            <w:vAlign w:val="bottom"/>
            <w:hideMark/>
          </w:tcPr>
          <w:p w14:paraId="1E8AC531"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6.4</w:t>
            </w:r>
          </w:p>
        </w:tc>
        <w:tc>
          <w:tcPr>
            <w:tcW w:w="1681" w:type="dxa"/>
            <w:shd w:val="clear" w:color="auto" w:fill="auto"/>
            <w:noWrap/>
            <w:vAlign w:val="bottom"/>
            <w:hideMark/>
          </w:tcPr>
          <w:p w14:paraId="4CBBA8DD"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4.1</w:t>
            </w:r>
          </w:p>
        </w:tc>
      </w:tr>
      <w:tr w:rsidR="00BB718B" w:rsidRPr="00C8438F" w14:paraId="702DAF04" w14:textId="77777777" w:rsidTr="00D84A32">
        <w:trPr>
          <w:trHeight w:val="300"/>
        </w:trPr>
        <w:tc>
          <w:tcPr>
            <w:tcW w:w="4977" w:type="dxa"/>
            <w:shd w:val="clear" w:color="auto" w:fill="auto"/>
            <w:vAlign w:val="bottom"/>
            <w:hideMark/>
          </w:tcPr>
          <w:p w14:paraId="71B12940" w14:textId="77777777" w:rsidR="00BB718B" w:rsidRPr="00E50C6A" w:rsidRDefault="00BB718B" w:rsidP="00D84A32">
            <w:pPr>
              <w:spacing w:after="0" w:line="240" w:lineRule="auto"/>
              <w:rPr>
                <w:rFonts w:ascii="Arial" w:eastAsia="Times New Roman" w:hAnsi="Arial" w:cs="Arial"/>
                <w:sz w:val="24"/>
                <w:szCs w:val="24"/>
                <w:lang w:eastAsia="en-AU"/>
              </w:rPr>
            </w:pPr>
            <w:r w:rsidRPr="00E50C6A">
              <w:rPr>
                <w:rFonts w:ascii="Arial" w:eastAsia="Times New Roman" w:hAnsi="Arial" w:cs="Arial"/>
                <w:sz w:val="24"/>
                <w:szCs w:val="24"/>
                <w:lang w:eastAsia="en-AU"/>
              </w:rPr>
              <w:t>Intellectual</w:t>
            </w:r>
          </w:p>
        </w:tc>
        <w:tc>
          <w:tcPr>
            <w:tcW w:w="1842" w:type="dxa"/>
            <w:shd w:val="clear" w:color="auto" w:fill="auto"/>
            <w:noWrap/>
            <w:vAlign w:val="bottom"/>
            <w:hideMark/>
          </w:tcPr>
          <w:p w14:paraId="3488630D"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6.2</w:t>
            </w:r>
          </w:p>
        </w:tc>
        <w:tc>
          <w:tcPr>
            <w:tcW w:w="1681" w:type="dxa"/>
            <w:shd w:val="clear" w:color="auto" w:fill="auto"/>
            <w:noWrap/>
            <w:vAlign w:val="bottom"/>
            <w:hideMark/>
          </w:tcPr>
          <w:p w14:paraId="6F4CCBA7"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5</w:t>
            </w:r>
          </w:p>
        </w:tc>
      </w:tr>
      <w:tr w:rsidR="00BB718B" w:rsidRPr="00C8438F" w14:paraId="42EE0582" w14:textId="77777777" w:rsidTr="00D84A32">
        <w:trPr>
          <w:trHeight w:val="495"/>
        </w:trPr>
        <w:tc>
          <w:tcPr>
            <w:tcW w:w="4977" w:type="dxa"/>
            <w:shd w:val="clear" w:color="auto" w:fill="auto"/>
            <w:vAlign w:val="bottom"/>
            <w:hideMark/>
          </w:tcPr>
          <w:p w14:paraId="23A01548" w14:textId="77777777" w:rsidR="00BB718B" w:rsidRPr="00E50C6A" w:rsidRDefault="00BB718B" w:rsidP="00D84A32">
            <w:pPr>
              <w:spacing w:after="0" w:line="240" w:lineRule="auto"/>
              <w:ind w:left="49"/>
              <w:rPr>
                <w:rFonts w:ascii="Arial" w:eastAsia="Times New Roman" w:hAnsi="Arial" w:cs="Arial"/>
                <w:sz w:val="24"/>
                <w:szCs w:val="24"/>
                <w:lang w:eastAsia="en-AU"/>
              </w:rPr>
            </w:pPr>
            <w:r w:rsidRPr="00E50C6A">
              <w:rPr>
                <w:rFonts w:ascii="Arial" w:eastAsia="Times New Roman" w:hAnsi="Arial" w:cs="Arial"/>
                <w:sz w:val="24"/>
                <w:szCs w:val="24"/>
                <w:lang w:eastAsia="en-AU"/>
              </w:rPr>
              <w:t>Neurological (including Epilepsy &amp; Alzheimer's Disease)</w:t>
            </w:r>
          </w:p>
        </w:tc>
        <w:tc>
          <w:tcPr>
            <w:tcW w:w="1842" w:type="dxa"/>
            <w:shd w:val="clear" w:color="auto" w:fill="auto"/>
            <w:noWrap/>
            <w:vAlign w:val="bottom"/>
            <w:hideMark/>
          </w:tcPr>
          <w:p w14:paraId="4F5D2321"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4.2</w:t>
            </w:r>
          </w:p>
        </w:tc>
        <w:tc>
          <w:tcPr>
            <w:tcW w:w="1681" w:type="dxa"/>
            <w:shd w:val="clear" w:color="auto" w:fill="auto"/>
            <w:noWrap/>
            <w:vAlign w:val="bottom"/>
            <w:hideMark/>
          </w:tcPr>
          <w:p w14:paraId="431976C4"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4.2</w:t>
            </w:r>
          </w:p>
        </w:tc>
      </w:tr>
      <w:tr w:rsidR="00BB718B" w:rsidRPr="00C8438F" w14:paraId="6FD5AF55" w14:textId="77777777" w:rsidTr="00D84A32">
        <w:trPr>
          <w:trHeight w:val="495"/>
        </w:trPr>
        <w:tc>
          <w:tcPr>
            <w:tcW w:w="4977" w:type="dxa"/>
            <w:shd w:val="clear" w:color="auto" w:fill="auto"/>
            <w:vAlign w:val="bottom"/>
            <w:hideMark/>
          </w:tcPr>
          <w:p w14:paraId="405630EE" w14:textId="77777777" w:rsidR="00BB718B" w:rsidRPr="00E50C6A" w:rsidRDefault="00BB718B" w:rsidP="00D84A32">
            <w:pPr>
              <w:spacing w:after="0" w:line="240" w:lineRule="auto"/>
              <w:ind w:left="49"/>
              <w:rPr>
                <w:rFonts w:ascii="Arial" w:eastAsia="Times New Roman" w:hAnsi="Arial" w:cs="Arial"/>
                <w:sz w:val="24"/>
                <w:szCs w:val="24"/>
                <w:lang w:eastAsia="en-AU"/>
              </w:rPr>
            </w:pPr>
            <w:r w:rsidRPr="00E50C6A">
              <w:rPr>
                <w:rFonts w:ascii="Arial" w:eastAsia="Times New Roman" w:hAnsi="Arial" w:cs="Arial"/>
                <w:sz w:val="24"/>
                <w:szCs w:val="24"/>
                <w:lang w:eastAsia="en-AU"/>
              </w:rPr>
              <w:t>Autism (including Asperger's Syndrome)</w:t>
            </w:r>
          </w:p>
        </w:tc>
        <w:tc>
          <w:tcPr>
            <w:tcW w:w="1842" w:type="dxa"/>
            <w:shd w:val="clear" w:color="auto" w:fill="auto"/>
            <w:noWrap/>
            <w:vAlign w:val="bottom"/>
            <w:hideMark/>
          </w:tcPr>
          <w:p w14:paraId="459FF918"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2.7</w:t>
            </w:r>
          </w:p>
        </w:tc>
        <w:tc>
          <w:tcPr>
            <w:tcW w:w="1681" w:type="dxa"/>
            <w:shd w:val="clear" w:color="auto" w:fill="auto"/>
            <w:noWrap/>
            <w:vAlign w:val="bottom"/>
            <w:hideMark/>
          </w:tcPr>
          <w:p w14:paraId="2523F75F"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3.4</w:t>
            </w:r>
          </w:p>
        </w:tc>
      </w:tr>
      <w:tr w:rsidR="00BB718B" w:rsidRPr="00C8438F" w14:paraId="7C245D85" w14:textId="77777777" w:rsidTr="00D84A32">
        <w:trPr>
          <w:trHeight w:val="300"/>
        </w:trPr>
        <w:tc>
          <w:tcPr>
            <w:tcW w:w="4977" w:type="dxa"/>
            <w:shd w:val="clear" w:color="auto" w:fill="auto"/>
            <w:vAlign w:val="bottom"/>
            <w:hideMark/>
          </w:tcPr>
          <w:p w14:paraId="73B43614" w14:textId="77777777" w:rsidR="00BB718B" w:rsidRPr="00E50C6A" w:rsidRDefault="00BB718B" w:rsidP="00D84A32">
            <w:pPr>
              <w:spacing w:after="0" w:line="240" w:lineRule="auto"/>
              <w:rPr>
                <w:rFonts w:ascii="Arial" w:eastAsia="Times New Roman" w:hAnsi="Arial" w:cs="Arial"/>
                <w:sz w:val="24"/>
                <w:szCs w:val="24"/>
                <w:lang w:eastAsia="en-AU"/>
              </w:rPr>
            </w:pPr>
            <w:r w:rsidRPr="00E50C6A">
              <w:rPr>
                <w:rFonts w:ascii="Arial" w:eastAsia="Times New Roman" w:hAnsi="Arial" w:cs="Arial"/>
                <w:sz w:val="24"/>
                <w:szCs w:val="24"/>
                <w:lang w:eastAsia="en-AU"/>
              </w:rPr>
              <w:t>Hearing</w:t>
            </w:r>
          </w:p>
        </w:tc>
        <w:tc>
          <w:tcPr>
            <w:tcW w:w="1842" w:type="dxa"/>
            <w:shd w:val="clear" w:color="auto" w:fill="auto"/>
            <w:noWrap/>
            <w:vAlign w:val="bottom"/>
            <w:hideMark/>
          </w:tcPr>
          <w:p w14:paraId="638B942D"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1.8</w:t>
            </w:r>
          </w:p>
        </w:tc>
        <w:tc>
          <w:tcPr>
            <w:tcW w:w="1681" w:type="dxa"/>
            <w:shd w:val="clear" w:color="auto" w:fill="auto"/>
            <w:noWrap/>
            <w:vAlign w:val="bottom"/>
            <w:hideMark/>
          </w:tcPr>
          <w:p w14:paraId="7CC06660"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1.7</w:t>
            </w:r>
          </w:p>
        </w:tc>
      </w:tr>
      <w:tr w:rsidR="00BB718B" w:rsidRPr="00C8438F" w14:paraId="62F72303" w14:textId="77777777" w:rsidTr="00D84A32">
        <w:trPr>
          <w:trHeight w:val="300"/>
        </w:trPr>
        <w:tc>
          <w:tcPr>
            <w:tcW w:w="4977" w:type="dxa"/>
            <w:shd w:val="clear" w:color="auto" w:fill="auto"/>
            <w:vAlign w:val="bottom"/>
            <w:hideMark/>
          </w:tcPr>
          <w:p w14:paraId="1A249FD8" w14:textId="77777777" w:rsidR="00BB718B" w:rsidRPr="00E50C6A" w:rsidRDefault="00BB718B" w:rsidP="00D84A32">
            <w:pPr>
              <w:spacing w:after="0" w:line="240" w:lineRule="auto"/>
              <w:rPr>
                <w:rFonts w:ascii="Arial" w:eastAsia="Times New Roman" w:hAnsi="Arial" w:cs="Arial"/>
                <w:sz w:val="24"/>
                <w:szCs w:val="24"/>
                <w:lang w:eastAsia="en-AU"/>
              </w:rPr>
            </w:pPr>
            <w:r w:rsidRPr="00E50C6A">
              <w:rPr>
                <w:rFonts w:ascii="Arial" w:eastAsia="Times New Roman" w:hAnsi="Arial" w:cs="Arial"/>
                <w:sz w:val="24"/>
                <w:szCs w:val="24"/>
                <w:lang w:eastAsia="en-AU"/>
              </w:rPr>
              <w:t>Acquired brain injury</w:t>
            </w:r>
          </w:p>
        </w:tc>
        <w:tc>
          <w:tcPr>
            <w:tcW w:w="1842" w:type="dxa"/>
            <w:shd w:val="clear" w:color="auto" w:fill="auto"/>
            <w:noWrap/>
            <w:vAlign w:val="bottom"/>
            <w:hideMark/>
          </w:tcPr>
          <w:p w14:paraId="0A14E3EF" w14:textId="77777777" w:rsidR="00BB718B" w:rsidRPr="00E50C6A" w:rsidRDefault="00BB718B" w:rsidP="00D84A32">
            <w:pPr>
              <w:spacing w:after="0" w:line="240" w:lineRule="auto"/>
              <w:rPr>
                <w:rFonts w:ascii="Arial" w:eastAsia="Times New Roman" w:hAnsi="Arial" w:cs="Arial"/>
                <w:color w:val="000000"/>
                <w:sz w:val="24"/>
                <w:szCs w:val="24"/>
                <w:lang w:eastAsia="en-AU"/>
              </w:rPr>
            </w:pPr>
          </w:p>
        </w:tc>
        <w:tc>
          <w:tcPr>
            <w:tcW w:w="1681" w:type="dxa"/>
            <w:shd w:val="clear" w:color="auto" w:fill="auto"/>
            <w:noWrap/>
            <w:vAlign w:val="bottom"/>
            <w:hideMark/>
          </w:tcPr>
          <w:p w14:paraId="5E78FFB8"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1.3</w:t>
            </w:r>
          </w:p>
        </w:tc>
      </w:tr>
      <w:tr w:rsidR="00BB718B" w:rsidRPr="00C8438F" w14:paraId="36D092C5" w14:textId="77777777" w:rsidTr="00D84A32">
        <w:trPr>
          <w:trHeight w:val="300"/>
        </w:trPr>
        <w:tc>
          <w:tcPr>
            <w:tcW w:w="4977" w:type="dxa"/>
            <w:shd w:val="clear" w:color="auto" w:fill="auto"/>
            <w:vAlign w:val="bottom"/>
            <w:hideMark/>
          </w:tcPr>
          <w:p w14:paraId="3E071CE1" w14:textId="77777777" w:rsidR="00BB718B" w:rsidRPr="00E50C6A" w:rsidRDefault="00BB718B" w:rsidP="00D84A32">
            <w:pPr>
              <w:spacing w:after="0" w:line="240" w:lineRule="auto"/>
              <w:rPr>
                <w:rFonts w:ascii="Arial" w:eastAsia="Times New Roman" w:hAnsi="Arial" w:cs="Arial"/>
                <w:sz w:val="24"/>
                <w:szCs w:val="24"/>
                <w:lang w:eastAsia="en-AU"/>
              </w:rPr>
            </w:pPr>
            <w:r w:rsidRPr="00E50C6A">
              <w:rPr>
                <w:rFonts w:ascii="Arial" w:eastAsia="Times New Roman" w:hAnsi="Arial" w:cs="Arial"/>
                <w:sz w:val="24"/>
                <w:szCs w:val="24"/>
                <w:lang w:eastAsia="en-AU"/>
              </w:rPr>
              <w:t>Vision</w:t>
            </w:r>
          </w:p>
        </w:tc>
        <w:tc>
          <w:tcPr>
            <w:tcW w:w="1842" w:type="dxa"/>
            <w:shd w:val="clear" w:color="auto" w:fill="auto"/>
            <w:noWrap/>
            <w:vAlign w:val="bottom"/>
            <w:hideMark/>
          </w:tcPr>
          <w:p w14:paraId="31EBC812"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1.4</w:t>
            </w:r>
          </w:p>
        </w:tc>
        <w:tc>
          <w:tcPr>
            <w:tcW w:w="1681" w:type="dxa"/>
            <w:shd w:val="clear" w:color="auto" w:fill="auto"/>
            <w:noWrap/>
            <w:vAlign w:val="bottom"/>
            <w:hideMark/>
          </w:tcPr>
          <w:p w14:paraId="3D671655"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1.3</w:t>
            </w:r>
          </w:p>
        </w:tc>
      </w:tr>
      <w:tr w:rsidR="00BB718B" w:rsidRPr="00C8438F" w14:paraId="5320C131" w14:textId="77777777" w:rsidTr="00D84A32">
        <w:trPr>
          <w:trHeight w:val="300"/>
        </w:trPr>
        <w:tc>
          <w:tcPr>
            <w:tcW w:w="4977" w:type="dxa"/>
            <w:shd w:val="clear" w:color="auto" w:fill="auto"/>
            <w:vAlign w:val="bottom"/>
            <w:hideMark/>
          </w:tcPr>
          <w:p w14:paraId="7A9B6BE0" w14:textId="77777777" w:rsidR="00BB718B" w:rsidRPr="00E50C6A" w:rsidRDefault="00BB718B" w:rsidP="00D84A32">
            <w:pPr>
              <w:spacing w:after="0" w:line="240" w:lineRule="auto"/>
              <w:rPr>
                <w:rFonts w:ascii="Arial" w:eastAsia="Times New Roman" w:hAnsi="Arial" w:cs="Arial"/>
                <w:sz w:val="24"/>
                <w:szCs w:val="24"/>
                <w:lang w:eastAsia="en-AU"/>
              </w:rPr>
            </w:pPr>
            <w:r w:rsidRPr="00E50C6A">
              <w:rPr>
                <w:rFonts w:ascii="Arial" w:eastAsia="Times New Roman" w:hAnsi="Arial" w:cs="Arial"/>
                <w:sz w:val="24"/>
                <w:szCs w:val="24"/>
                <w:lang w:eastAsia="en-AU"/>
              </w:rPr>
              <w:t>Speech</w:t>
            </w:r>
          </w:p>
        </w:tc>
        <w:tc>
          <w:tcPr>
            <w:tcW w:w="1842" w:type="dxa"/>
            <w:shd w:val="clear" w:color="auto" w:fill="auto"/>
            <w:noWrap/>
            <w:vAlign w:val="bottom"/>
            <w:hideMark/>
          </w:tcPr>
          <w:p w14:paraId="37866830"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0.2</w:t>
            </w:r>
          </w:p>
        </w:tc>
        <w:tc>
          <w:tcPr>
            <w:tcW w:w="1681" w:type="dxa"/>
            <w:shd w:val="clear" w:color="auto" w:fill="auto"/>
            <w:noWrap/>
            <w:vAlign w:val="bottom"/>
            <w:hideMark/>
          </w:tcPr>
          <w:p w14:paraId="3A57BDFF"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0.2</w:t>
            </w:r>
          </w:p>
        </w:tc>
      </w:tr>
      <w:tr w:rsidR="00BB718B" w:rsidRPr="00C8438F" w14:paraId="2FA2784F" w14:textId="77777777" w:rsidTr="00D84A32">
        <w:trPr>
          <w:trHeight w:val="300"/>
        </w:trPr>
        <w:tc>
          <w:tcPr>
            <w:tcW w:w="4977" w:type="dxa"/>
            <w:shd w:val="clear" w:color="auto" w:fill="auto"/>
            <w:vAlign w:val="bottom"/>
            <w:hideMark/>
          </w:tcPr>
          <w:p w14:paraId="2AA061AC" w14:textId="77777777" w:rsidR="00BB718B" w:rsidRPr="00E50C6A" w:rsidRDefault="00BB718B" w:rsidP="00D84A32">
            <w:pPr>
              <w:spacing w:after="0" w:line="240" w:lineRule="auto"/>
              <w:rPr>
                <w:rFonts w:ascii="Arial" w:eastAsia="Times New Roman" w:hAnsi="Arial" w:cs="Arial"/>
                <w:sz w:val="24"/>
                <w:szCs w:val="24"/>
                <w:lang w:eastAsia="en-AU"/>
              </w:rPr>
            </w:pPr>
            <w:r w:rsidRPr="00E50C6A">
              <w:rPr>
                <w:rFonts w:ascii="Arial" w:eastAsia="Times New Roman" w:hAnsi="Arial" w:cs="Arial"/>
                <w:sz w:val="24"/>
                <w:szCs w:val="24"/>
                <w:lang w:eastAsia="en-AU"/>
              </w:rPr>
              <w:t>Deafblind (Dual Sensory)</w:t>
            </w:r>
          </w:p>
        </w:tc>
        <w:tc>
          <w:tcPr>
            <w:tcW w:w="1842" w:type="dxa"/>
            <w:shd w:val="clear" w:color="auto" w:fill="auto"/>
            <w:noWrap/>
            <w:vAlign w:val="bottom"/>
            <w:hideMark/>
          </w:tcPr>
          <w:p w14:paraId="65CFDA66"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0.1</w:t>
            </w:r>
          </w:p>
        </w:tc>
        <w:tc>
          <w:tcPr>
            <w:tcW w:w="1681" w:type="dxa"/>
            <w:shd w:val="clear" w:color="auto" w:fill="auto"/>
            <w:noWrap/>
            <w:vAlign w:val="bottom"/>
            <w:hideMark/>
          </w:tcPr>
          <w:p w14:paraId="71FA6FDD"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0.1</w:t>
            </w:r>
          </w:p>
        </w:tc>
      </w:tr>
      <w:tr w:rsidR="00BB718B" w:rsidRPr="00C8438F" w14:paraId="67816FCE" w14:textId="77777777" w:rsidTr="00D84A32">
        <w:trPr>
          <w:trHeight w:val="300"/>
        </w:trPr>
        <w:tc>
          <w:tcPr>
            <w:tcW w:w="4977" w:type="dxa"/>
            <w:shd w:val="clear" w:color="auto" w:fill="auto"/>
            <w:vAlign w:val="bottom"/>
            <w:hideMark/>
          </w:tcPr>
          <w:p w14:paraId="06EE2E78" w14:textId="77777777" w:rsidR="00BB718B" w:rsidRPr="00E50C6A" w:rsidRDefault="00BB718B" w:rsidP="00D84A32">
            <w:pPr>
              <w:spacing w:after="0" w:line="240" w:lineRule="auto"/>
              <w:rPr>
                <w:rFonts w:ascii="Arial" w:eastAsia="Times New Roman" w:hAnsi="Arial" w:cs="Arial"/>
                <w:sz w:val="24"/>
                <w:szCs w:val="24"/>
                <w:lang w:eastAsia="en-AU"/>
              </w:rPr>
            </w:pPr>
            <w:r w:rsidRPr="00E50C6A">
              <w:rPr>
                <w:rFonts w:ascii="Arial" w:eastAsia="Times New Roman" w:hAnsi="Arial" w:cs="Arial"/>
                <w:sz w:val="24"/>
                <w:szCs w:val="24"/>
                <w:lang w:eastAsia="en-AU"/>
              </w:rPr>
              <w:t>Unknown/Not Stated</w:t>
            </w:r>
          </w:p>
        </w:tc>
        <w:tc>
          <w:tcPr>
            <w:tcW w:w="1842" w:type="dxa"/>
            <w:shd w:val="clear" w:color="auto" w:fill="auto"/>
            <w:noWrap/>
            <w:vAlign w:val="bottom"/>
            <w:hideMark/>
          </w:tcPr>
          <w:p w14:paraId="7A7954CF"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0</w:t>
            </w:r>
          </w:p>
        </w:tc>
        <w:tc>
          <w:tcPr>
            <w:tcW w:w="1681" w:type="dxa"/>
            <w:shd w:val="clear" w:color="auto" w:fill="auto"/>
            <w:noWrap/>
            <w:vAlign w:val="bottom"/>
            <w:hideMark/>
          </w:tcPr>
          <w:p w14:paraId="1BB77147" w14:textId="77777777" w:rsidR="00BB718B" w:rsidRPr="00E50C6A" w:rsidRDefault="00BB718B" w:rsidP="00D84A32">
            <w:pPr>
              <w:spacing w:after="0" w:line="240" w:lineRule="auto"/>
              <w:rPr>
                <w:rFonts w:ascii="Arial" w:eastAsia="Times New Roman" w:hAnsi="Arial" w:cs="Arial"/>
                <w:color w:val="000000"/>
                <w:sz w:val="24"/>
                <w:szCs w:val="24"/>
                <w:lang w:eastAsia="en-AU"/>
              </w:rPr>
            </w:pPr>
            <w:r w:rsidRPr="00E50C6A">
              <w:rPr>
                <w:rFonts w:ascii="Arial" w:eastAsia="Times New Roman" w:hAnsi="Arial" w:cs="Arial"/>
                <w:color w:val="000000"/>
                <w:sz w:val="24"/>
                <w:szCs w:val="24"/>
                <w:lang w:eastAsia="en-AU"/>
              </w:rPr>
              <w:t>0</w:t>
            </w:r>
          </w:p>
        </w:tc>
      </w:tr>
    </w:tbl>
    <w:p w14:paraId="6BAB28D2" w14:textId="77777777" w:rsidR="00E50C6A" w:rsidRDefault="00E50C6A">
      <w:pPr>
        <w:rPr>
          <w:rFonts w:ascii="Arial" w:hAnsi="Arial" w:cs="Arial"/>
          <w:bCs/>
          <w:sz w:val="24"/>
        </w:rPr>
      </w:pPr>
    </w:p>
    <w:p w14:paraId="2049EB37" w14:textId="77777777" w:rsidR="00BB718B" w:rsidRDefault="00E54DA4">
      <w:pPr>
        <w:rPr>
          <w:rFonts w:ascii="Arial" w:eastAsiaTheme="majorEastAsia" w:hAnsi="Arial" w:cs="Arial"/>
          <w:iCs/>
          <w:spacing w:val="13"/>
          <w:sz w:val="24"/>
          <w:szCs w:val="24"/>
        </w:rPr>
      </w:pPr>
      <w:r>
        <w:rPr>
          <w:rFonts w:ascii="Arial" w:hAnsi="Arial" w:cs="Arial"/>
          <w:bCs/>
          <w:sz w:val="24"/>
        </w:rPr>
        <w:t xml:space="preserve">Figure </w:t>
      </w:r>
      <w:r w:rsidR="00E86B36">
        <w:rPr>
          <w:rFonts w:ascii="Arial" w:hAnsi="Arial" w:cs="Arial"/>
          <w:bCs/>
          <w:sz w:val="24"/>
        </w:rPr>
        <w:t>1</w:t>
      </w:r>
      <w:r w:rsidR="004733A4">
        <w:rPr>
          <w:rFonts w:ascii="Arial" w:hAnsi="Arial" w:cs="Arial"/>
          <w:bCs/>
          <w:sz w:val="24"/>
        </w:rPr>
        <w:t>0</w:t>
      </w:r>
      <w:r w:rsidR="001B14A2" w:rsidRPr="001B14A2">
        <w:rPr>
          <w:rFonts w:ascii="Arial" w:hAnsi="Arial" w:cs="Arial"/>
          <w:bCs/>
          <w:sz w:val="24"/>
        </w:rPr>
        <w:t xml:space="preserve"> demonstrates that these changes have been even more pronounced in the ESS program. </w:t>
      </w:r>
    </w:p>
    <w:p w14:paraId="4ED15840" w14:textId="77777777" w:rsidR="001B14A2" w:rsidRPr="001B14A2" w:rsidRDefault="00E54DA4" w:rsidP="001C7EC5">
      <w:pPr>
        <w:pStyle w:val="Subtitle"/>
      </w:pPr>
      <w:r>
        <w:t xml:space="preserve">Figure </w:t>
      </w:r>
      <w:r w:rsidR="00E86B36">
        <w:t>1</w:t>
      </w:r>
      <w:r w:rsidR="004733A4">
        <w:t>0</w:t>
      </w:r>
      <w:r w:rsidR="001C7EC5">
        <w:t>: p</w:t>
      </w:r>
      <w:r w:rsidR="001B14A2" w:rsidRPr="001B14A2">
        <w:t>rimary disability of ESS participants (%), 2011 and 2014</w:t>
      </w:r>
    </w:p>
    <w:p w14:paraId="50335CBA" w14:textId="77777777" w:rsidR="00D84A32" w:rsidRDefault="001B14A2" w:rsidP="001B14A2">
      <w:pPr>
        <w:rPr>
          <w:rFonts w:ascii="Arial" w:hAnsi="Arial" w:cs="Arial"/>
          <w:b/>
          <w:bCs/>
          <w:sz w:val="24"/>
        </w:rPr>
      </w:pPr>
      <w:r w:rsidRPr="001B14A2">
        <w:rPr>
          <w:rFonts w:ascii="Arial" w:hAnsi="Arial" w:cs="Arial"/>
          <w:bCs/>
          <w:noProof/>
          <w:sz w:val="24"/>
          <w:lang w:eastAsia="en-AU"/>
        </w:rPr>
        <w:drawing>
          <wp:inline distT="0" distB="0" distL="0" distR="0" wp14:anchorId="49FC220F" wp14:editId="68B368A5">
            <wp:extent cx="4572000" cy="2743200"/>
            <wp:effectExtent l="0" t="0" r="19050" b="19050"/>
            <wp:docPr id="9" name="Chart 9" descr="Please see accessible table directly below figure." title="Figure 10: primary disability of ESS participants (percentage), 2011 and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791E5D" w14:textId="77777777" w:rsidR="00D84A32" w:rsidRDefault="00D84A32" w:rsidP="00D84A32">
      <w:r>
        <w:br w:type="page"/>
      </w:r>
    </w:p>
    <w:p w14:paraId="0A8ECAFA" w14:textId="77777777" w:rsidR="00D84A32" w:rsidRPr="001B14A2" w:rsidRDefault="00D84A32" w:rsidP="00D84A32">
      <w:pPr>
        <w:pStyle w:val="Subtitle"/>
      </w:pPr>
      <w:r>
        <w:lastRenderedPageBreak/>
        <w:t>Figure 10: p</w:t>
      </w:r>
      <w:r w:rsidRPr="001B14A2">
        <w:t>rimary disability of ESS participants (%), 2011 and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1913"/>
        <w:gridCol w:w="3349"/>
      </w:tblGrid>
      <w:tr w:rsidR="00BB718B" w:rsidRPr="00C8438F" w14:paraId="5ECE2201" w14:textId="77777777" w:rsidTr="00390D50">
        <w:trPr>
          <w:trHeight w:val="300"/>
          <w:tblHeader/>
        </w:trPr>
        <w:tc>
          <w:tcPr>
            <w:tcW w:w="2153" w:type="pct"/>
            <w:shd w:val="clear" w:color="auto" w:fill="auto"/>
            <w:vAlign w:val="bottom"/>
            <w:hideMark/>
          </w:tcPr>
          <w:p w14:paraId="230D8F98" w14:textId="77777777" w:rsidR="00BB718B" w:rsidRPr="00CD7FE8" w:rsidRDefault="00BB718B" w:rsidP="00BB718B">
            <w:pPr>
              <w:spacing w:after="0" w:line="240" w:lineRule="auto"/>
              <w:rPr>
                <w:rFonts w:ascii="Arial" w:eastAsia="Times New Roman" w:hAnsi="Arial" w:cs="Arial"/>
                <w:b/>
                <w:color w:val="000000"/>
                <w:sz w:val="24"/>
                <w:szCs w:val="24"/>
                <w:lang w:eastAsia="en-AU"/>
              </w:rPr>
            </w:pPr>
            <w:bookmarkStart w:id="202" w:name="Title_6" w:colFirst="0" w:colLast="0"/>
          </w:p>
        </w:tc>
        <w:tc>
          <w:tcPr>
            <w:tcW w:w="1035" w:type="pct"/>
            <w:shd w:val="clear" w:color="auto" w:fill="auto"/>
            <w:noWrap/>
            <w:vAlign w:val="bottom"/>
            <w:hideMark/>
          </w:tcPr>
          <w:p w14:paraId="5A4A8B97" w14:textId="77777777" w:rsidR="00BB718B" w:rsidRPr="00CD7FE8" w:rsidRDefault="00BB718B" w:rsidP="00BB718B">
            <w:pPr>
              <w:spacing w:after="0" w:line="240" w:lineRule="auto"/>
              <w:jc w:val="right"/>
              <w:rPr>
                <w:rFonts w:ascii="Arial" w:eastAsia="Times New Roman" w:hAnsi="Arial" w:cs="Arial"/>
                <w:b/>
                <w:color w:val="000000"/>
                <w:sz w:val="24"/>
                <w:szCs w:val="24"/>
                <w:lang w:eastAsia="en-AU"/>
              </w:rPr>
            </w:pPr>
            <w:r w:rsidRPr="00CD7FE8">
              <w:rPr>
                <w:rFonts w:ascii="Arial" w:eastAsia="Times New Roman" w:hAnsi="Arial" w:cs="Arial"/>
                <w:b/>
                <w:color w:val="000000"/>
                <w:sz w:val="24"/>
                <w:szCs w:val="24"/>
                <w:lang w:eastAsia="en-AU"/>
              </w:rPr>
              <w:t>2011</w:t>
            </w:r>
          </w:p>
        </w:tc>
        <w:tc>
          <w:tcPr>
            <w:tcW w:w="1812" w:type="pct"/>
            <w:shd w:val="clear" w:color="auto" w:fill="auto"/>
            <w:noWrap/>
            <w:vAlign w:val="bottom"/>
            <w:hideMark/>
          </w:tcPr>
          <w:p w14:paraId="78DA03BB" w14:textId="77777777" w:rsidR="00BB718B" w:rsidRPr="00CD7FE8" w:rsidRDefault="00BB718B" w:rsidP="00BB718B">
            <w:pPr>
              <w:spacing w:after="0" w:line="240" w:lineRule="auto"/>
              <w:jc w:val="right"/>
              <w:rPr>
                <w:rFonts w:ascii="Arial" w:eastAsia="Times New Roman" w:hAnsi="Arial" w:cs="Arial"/>
                <w:b/>
                <w:color w:val="000000"/>
                <w:sz w:val="24"/>
                <w:szCs w:val="24"/>
                <w:lang w:eastAsia="en-AU"/>
              </w:rPr>
            </w:pPr>
            <w:r w:rsidRPr="00CD7FE8">
              <w:rPr>
                <w:rFonts w:ascii="Arial" w:eastAsia="Times New Roman" w:hAnsi="Arial" w:cs="Arial"/>
                <w:b/>
                <w:color w:val="000000"/>
                <w:sz w:val="24"/>
                <w:szCs w:val="24"/>
                <w:lang w:eastAsia="en-AU"/>
              </w:rPr>
              <w:t>2014</w:t>
            </w:r>
          </w:p>
        </w:tc>
      </w:tr>
      <w:bookmarkEnd w:id="202"/>
      <w:tr w:rsidR="00BB718B" w:rsidRPr="00C8438F" w14:paraId="2109DC42" w14:textId="77777777" w:rsidTr="00390D50">
        <w:trPr>
          <w:trHeight w:val="300"/>
          <w:tblHeader/>
        </w:trPr>
        <w:tc>
          <w:tcPr>
            <w:tcW w:w="2153" w:type="pct"/>
            <w:shd w:val="clear" w:color="auto" w:fill="auto"/>
            <w:vAlign w:val="bottom"/>
            <w:hideMark/>
          </w:tcPr>
          <w:p w14:paraId="24FB70FC"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 xml:space="preserve">Physical </w:t>
            </w:r>
          </w:p>
        </w:tc>
        <w:tc>
          <w:tcPr>
            <w:tcW w:w="1035" w:type="pct"/>
            <w:shd w:val="clear" w:color="auto" w:fill="auto"/>
            <w:noWrap/>
            <w:vAlign w:val="bottom"/>
            <w:hideMark/>
          </w:tcPr>
          <w:p w14:paraId="5D2A273F"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27.4</w:t>
            </w:r>
          </w:p>
        </w:tc>
        <w:tc>
          <w:tcPr>
            <w:tcW w:w="1812" w:type="pct"/>
            <w:shd w:val="clear" w:color="auto" w:fill="auto"/>
            <w:noWrap/>
            <w:vAlign w:val="bottom"/>
            <w:hideMark/>
          </w:tcPr>
          <w:p w14:paraId="35308277"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30.55</w:t>
            </w:r>
          </w:p>
        </w:tc>
      </w:tr>
      <w:tr w:rsidR="00BB718B" w:rsidRPr="00C8438F" w14:paraId="0401F84D" w14:textId="77777777" w:rsidTr="00390D50">
        <w:trPr>
          <w:trHeight w:val="300"/>
          <w:tblHeader/>
        </w:trPr>
        <w:tc>
          <w:tcPr>
            <w:tcW w:w="2153" w:type="pct"/>
            <w:shd w:val="clear" w:color="auto" w:fill="auto"/>
            <w:vAlign w:val="bottom"/>
            <w:hideMark/>
          </w:tcPr>
          <w:p w14:paraId="12539F54"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 xml:space="preserve">Psychiatric  </w:t>
            </w:r>
          </w:p>
        </w:tc>
        <w:tc>
          <w:tcPr>
            <w:tcW w:w="1035" w:type="pct"/>
            <w:shd w:val="clear" w:color="auto" w:fill="auto"/>
            <w:noWrap/>
            <w:vAlign w:val="bottom"/>
            <w:hideMark/>
          </w:tcPr>
          <w:p w14:paraId="2D141AB4"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33.46</w:t>
            </w:r>
          </w:p>
        </w:tc>
        <w:tc>
          <w:tcPr>
            <w:tcW w:w="1812" w:type="pct"/>
            <w:shd w:val="clear" w:color="auto" w:fill="auto"/>
            <w:noWrap/>
            <w:vAlign w:val="bottom"/>
            <w:hideMark/>
          </w:tcPr>
          <w:p w14:paraId="77514647"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35.96</w:t>
            </w:r>
          </w:p>
        </w:tc>
      </w:tr>
      <w:tr w:rsidR="00BB718B" w:rsidRPr="00C8438F" w14:paraId="01220952" w14:textId="77777777" w:rsidTr="00390D50">
        <w:trPr>
          <w:trHeight w:val="600"/>
          <w:tblHeader/>
        </w:trPr>
        <w:tc>
          <w:tcPr>
            <w:tcW w:w="2153" w:type="pct"/>
            <w:shd w:val="clear" w:color="auto" w:fill="auto"/>
            <w:vAlign w:val="bottom"/>
            <w:hideMark/>
          </w:tcPr>
          <w:p w14:paraId="5A9F41AB"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Specific Learning/ADD (other than Intellectual)</w:t>
            </w:r>
          </w:p>
        </w:tc>
        <w:tc>
          <w:tcPr>
            <w:tcW w:w="1035" w:type="pct"/>
            <w:shd w:val="clear" w:color="auto" w:fill="auto"/>
            <w:noWrap/>
            <w:vAlign w:val="bottom"/>
            <w:hideMark/>
          </w:tcPr>
          <w:p w14:paraId="2AA71098"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9.89</w:t>
            </w:r>
          </w:p>
        </w:tc>
        <w:tc>
          <w:tcPr>
            <w:tcW w:w="1812" w:type="pct"/>
            <w:shd w:val="clear" w:color="auto" w:fill="auto"/>
            <w:noWrap/>
            <w:vAlign w:val="bottom"/>
            <w:hideMark/>
          </w:tcPr>
          <w:p w14:paraId="66345808"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6.9</w:t>
            </w:r>
          </w:p>
        </w:tc>
      </w:tr>
      <w:tr w:rsidR="00BB718B" w:rsidRPr="00C8438F" w14:paraId="326F9554" w14:textId="77777777" w:rsidTr="00390D50">
        <w:trPr>
          <w:trHeight w:val="300"/>
          <w:tblHeader/>
        </w:trPr>
        <w:tc>
          <w:tcPr>
            <w:tcW w:w="2153" w:type="pct"/>
            <w:shd w:val="clear" w:color="auto" w:fill="auto"/>
            <w:vAlign w:val="bottom"/>
            <w:hideMark/>
          </w:tcPr>
          <w:p w14:paraId="11CC3D2C"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 xml:space="preserve">Intellectual </w:t>
            </w:r>
          </w:p>
        </w:tc>
        <w:tc>
          <w:tcPr>
            <w:tcW w:w="1035" w:type="pct"/>
            <w:shd w:val="clear" w:color="auto" w:fill="auto"/>
            <w:noWrap/>
            <w:vAlign w:val="bottom"/>
            <w:hideMark/>
          </w:tcPr>
          <w:p w14:paraId="6353852B"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11.2</w:t>
            </w:r>
          </w:p>
        </w:tc>
        <w:tc>
          <w:tcPr>
            <w:tcW w:w="1812" w:type="pct"/>
            <w:shd w:val="clear" w:color="auto" w:fill="auto"/>
            <w:noWrap/>
            <w:vAlign w:val="bottom"/>
            <w:hideMark/>
          </w:tcPr>
          <w:p w14:paraId="1628B334"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9.1</w:t>
            </w:r>
          </w:p>
        </w:tc>
      </w:tr>
      <w:tr w:rsidR="00BB718B" w:rsidRPr="00C8438F" w14:paraId="5AA1F3C7" w14:textId="77777777" w:rsidTr="00390D50">
        <w:trPr>
          <w:trHeight w:val="576"/>
          <w:tblHeader/>
        </w:trPr>
        <w:tc>
          <w:tcPr>
            <w:tcW w:w="2153" w:type="pct"/>
            <w:shd w:val="clear" w:color="auto" w:fill="auto"/>
            <w:vAlign w:val="bottom"/>
            <w:hideMark/>
          </w:tcPr>
          <w:p w14:paraId="7DC07D45"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Neurological (including Epilepsy &amp; Alzheimer’s Disease)</w:t>
            </w:r>
          </w:p>
        </w:tc>
        <w:tc>
          <w:tcPr>
            <w:tcW w:w="1035" w:type="pct"/>
            <w:shd w:val="clear" w:color="auto" w:fill="auto"/>
            <w:noWrap/>
            <w:vAlign w:val="bottom"/>
            <w:hideMark/>
          </w:tcPr>
          <w:p w14:paraId="5C92C463"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5.12</w:t>
            </w:r>
          </w:p>
        </w:tc>
        <w:tc>
          <w:tcPr>
            <w:tcW w:w="1812" w:type="pct"/>
            <w:shd w:val="clear" w:color="auto" w:fill="auto"/>
            <w:noWrap/>
            <w:vAlign w:val="bottom"/>
            <w:hideMark/>
          </w:tcPr>
          <w:p w14:paraId="058501C7"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4.96</w:t>
            </w:r>
          </w:p>
        </w:tc>
      </w:tr>
      <w:tr w:rsidR="00BB718B" w:rsidRPr="00C8438F" w14:paraId="547AAD4A" w14:textId="77777777" w:rsidTr="00390D50">
        <w:trPr>
          <w:trHeight w:val="288"/>
          <w:tblHeader/>
        </w:trPr>
        <w:tc>
          <w:tcPr>
            <w:tcW w:w="2153" w:type="pct"/>
            <w:shd w:val="clear" w:color="auto" w:fill="auto"/>
            <w:vAlign w:val="bottom"/>
            <w:hideMark/>
          </w:tcPr>
          <w:p w14:paraId="1211F3E2"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Autism (including Asperger’s Syndrome)</w:t>
            </w:r>
          </w:p>
        </w:tc>
        <w:tc>
          <w:tcPr>
            <w:tcW w:w="1035" w:type="pct"/>
            <w:shd w:val="clear" w:color="auto" w:fill="auto"/>
            <w:noWrap/>
            <w:vAlign w:val="bottom"/>
            <w:hideMark/>
          </w:tcPr>
          <w:p w14:paraId="55C5EFBB"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4.64</w:t>
            </w:r>
          </w:p>
        </w:tc>
        <w:tc>
          <w:tcPr>
            <w:tcW w:w="1812" w:type="pct"/>
            <w:shd w:val="clear" w:color="auto" w:fill="auto"/>
            <w:noWrap/>
            <w:vAlign w:val="bottom"/>
            <w:hideMark/>
          </w:tcPr>
          <w:p w14:paraId="258AAF7A"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6.06</w:t>
            </w:r>
          </w:p>
        </w:tc>
      </w:tr>
      <w:tr w:rsidR="00BB718B" w:rsidRPr="00C8438F" w14:paraId="510D6A0A" w14:textId="77777777" w:rsidTr="00390D50">
        <w:trPr>
          <w:trHeight w:val="300"/>
          <w:tblHeader/>
        </w:trPr>
        <w:tc>
          <w:tcPr>
            <w:tcW w:w="2153" w:type="pct"/>
            <w:shd w:val="clear" w:color="auto" w:fill="auto"/>
            <w:vAlign w:val="bottom"/>
            <w:hideMark/>
          </w:tcPr>
          <w:p w14:paraId="0156E526"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 xml:space="preserve">Hearing </w:t>
            </w:r>
          </w:p>
        </w:tc>
        <w:tc>
          <w:tcPr>
            <w:tcW w:w="1035" w:type="pct"/>
            <w:shd w:val="clear" w:color="auto" w:fill="auto"/>
            <w:noWrap/>
            <w:vAlign w:val="bottom"/>
            <w:hideMark/>
          </w:tcPr>
          <w:p w14:paraId="7DA1A08B"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2.61</w:t>
            </w:r>
          </w:p>
        </w:tc>
        <w:tc>
          <w:tcPr>
            <w:tcW w:w="1812" w:type="pct"/>
            <w:shd w:val="clear" w:color="auto" w:fill="auto"/>
            <w:noWrap/>
            <w:vAlign w:val="bottom"/>
            <w:hideMark/>
          </w:tcPr>
          <w:p w14:paraId="3C98E81D"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2.35</w:t>
            </w:r>
          </w:p>
        </w:tc>
      </w:tr>
      <w:tr w:rsidR="00BB718B" w:rsidRPr="00C8438F" w14:paraId="0F9A70A3" w14:textId="77777777" w:rsidTr="00390D50">
        <w:trPr>
          <w:trHeight w:val="300"/>
          <w:tblHeader/>
        </w:trPr>
        <w:tc>
          <w:tcPr>
            <w:tcW w:w="2153" w:type="pct"/>
            <w:shd w:val="clear" w:color="auto" w:fill="auto"/>
            <w:vAlign w:val="bottom"/>
            <w:hideMark/>
          </w:tcPr>
          <w:p w14:paraId="0AA9E2BE"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 xml:space="preserve">Acquired brain injury </w:t>
            </w:r>
          </w:p>
        </w:tc>
        <w:tc>
          <w:tcPr>
            <w:tcW w:w="1035" w:type="pct"/>
            <w:shd w:val="clear" w:color="auto" w:fill="auto"/>
            <w:noWrap/>
            <w:vAlign w:val="bottom"/>
            <w:hideMark/>
          </w:tcPr>
          <w:p w14:paraId="326C5616"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2.41</w:t>
            </w:r>
          </w:p>
        </w:tc>
        <w:tc>
          <w:tcPr>
            <w:tcW w:w="1812" w:type="pct"/>
            <w:shd w:val="clear" w:color="auto" w:fill="auto"/>
            <w:noWrap/>
            <w:vAlign w:val="bottom"/>
            <w:hideMark/>
          </w:tcPr>
          <w:p w14:paraId="012F5347"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1.96</w:t>
            </w:r>
          </w:p>
        </w:tc>
      </w:tr>
      <w:tr w:rsidR="00BB718B" w:rsidRPr="00C8438F" w14:paraId="5242890D" w14:textId="77777777" w:rsidTr="00390D50">
        <w:trPr>
          <w:trHeight w:val="300"/>
          <w:tblHeader/>
        </w:trPr>
        <w:tc>
          <w:tcPr>
            <w:tcW w:w="2153" w:type="pct"/>
            <w:shd w:val="clear" w:color="auto" w:fill="auto"/>
            <w:vAlign w:val="bottom"/>
            <w:hideMark/>
          </w:tcPr>
          <w:p w14:paraId="32DFC647"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 xml:space="preserve">Vision </w:t>
            </w:r>
          </w:p>
        </w:tc>
        <w:tc>
          <w:tcPr>
            <w:tcW w:w="1035" w:type="pct"/>
            <w:shd w:val="clear" w:color="auto" w:fill="auto"/>
            <w:noWrap/>
            <w:vAlign w:val="bottom"/>
            <w:hideMark/>
          </w:tcPr>
          <w:p w14:paraId="4DC66573"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2.03</w:t>
            </w:r>
          </w:p>
        </w:tc>
        <w:tc>
          <w:tcPr>
            <w:tcW w:w="1812" w:type="pct"/>
            <w:shd w:val="clear" w:color="auto" w:fill="auto"/>
            <w:noWrap/>
            <w:vAlign w:val="bottom"/>
            <w:hideMark/>
          </w:tcPr>
          <w:p w14:paraId="4F2ED231"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1.7</w:t>
            </w:r>
          </w:p>
        </w:tc>
      </w:tr>
      <w:tr w:rsidR="00BB718B" w:rsidRPr="00C8438F" w14:paraId="5150D2A3" w14:textId="77777777" w:rsidTr="00390D50">
        <w:trPr>
          <w:trHeight w:val="300"/>
          <w:tblHeader/>
        </w:trPr>
        <w:tc>
          <w:tcPr>
            <w:tcW w:w="2153" w:type="pct"/>
            <w:shd w:val="clear" w:color="auto" w:fill="auto"/>
            <w:vAlign w:val="bottom"/>
            <w:hideMark/>
          </w:tcPr>
          <w:p w14:paraId="5D909D19"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 xml:space="preserve">Speech </w:t>
            </w:r>
          </w:p>
        </w:tc>
        <w:tc>
          <w:tcPr>
            <w:tcW w:w="1035" w:type="pct"/>
            <w:shd w:val="clear" w:color="auto" w:fill="auto"/>
            <w:noWrap/>
            <w:vAlign w:val="bottom"/>
            <w:hideMark/>
          </w:tcPr>
          <w:p w14:paraId="0FE7BF12"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0.32</w:t>
            </w:r>
          </w:p>
        </w:tc>
        <w:tc>
          <w:tcPr>
            <w:tcW w:w="1812" w:type="pct"/>
            <w:shd w:val="clear" w:color="auto" w:fill="auto"/>
            <w:noWrap/>
            <w:vAlign w:val="bottom"/>
            <w:hideMark/>
          </w:tcPr>
          <w:p w14:paraId="4899DA19"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0.28</w:t>
            </w:r>
          </w:p>
        </w:tc>
      </w:tr>
      <w:tr w:rsidR="00BB718B" w:rsidRPr="00C8438F" w14:paraId="23259461" w14:textId="77777777" w:rsidTr="00390D50">
        <w:trPr>
          <w:trHeight w:val="300"/>
          <w:tblHeader/>
        </w:trPr>
        <w:tc>
          <w:tcPr>
            <w:tcW w:w="2153" w:type="pct"/>
            <w:shd w:val="clear" w:color="auto" w:fill="auto"/>
            <w:vAlign w:val="bottom"/>
            <w:hideMark/>
          </w:tcPr>
          <w:p w14:paraId="24ADA416"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 xml:space="preserve">Deafblind (Dual Sensory) </w:t>
            </w:r>
          </w:p>
        </w:tc>
        <w:tc>
          <w:tcPr>
            <w:tcW w:w="1035" w:type="pct"/>
            <w:shd w:val="clear" w:color="auto" w:fill="auto"/>
            <w:noWrap/>
            <w:vAlign w:val="bottom"/>
            <w:hideMark/>
          </w:tcPr>
          <w:p w14:paraId="347CB6E9"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0.15</w:t>
            </w:r>
          </w:p>
        </w:tc>
        <w:tc>
          <w:tcPr>
            <w:tcW w:w="1812" w:type="pct"/>
            <w:shd w:val="clear" w:color="auto" w:fill="auto"/>
            <w:noWrap/>
            <w:vAlign w:val="bottom"/>
            <w:hideMark/>
          </w:tcPr>
          <w:p w14:paraId="2F81D719"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0.16</w:t>
            </w:r>
          </w:p>
        </w:tc>
      </w:tr>
      <w:tr w:rsidR="00BB718B" w:rsidRPr="00C8438F" w14:paraId="2A7DF806" w14:textId="77777777" w:rsidTr="00390D50">
        <w:trPr>
          <w:trHeight w:val="300"/>
          <w:tblHeader/>
        </w:trPr>
        <w:tc>
          <w:tcPr>
            <w:tcW w:w="2153" w:type="pct"/>
            <w:shd w:val="clear" w:color="auto" w:fill="auto"/>
            <w:vAlign w:val="bottom"/>
            <w:hideMark/>
          </w:tcPr>
          <w:p w14:paraId="73BA0CD9" w14:textId="77777777" w:rsidR="00BB718B" w:rsidRPr="00CD7FE8" w:rsidRDefault="00BB718B" w:rsidP="00BB718B">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Unknown/Not Stated</w:t>
            </w:r>
          </w:p>
        </w:tc>
        <w:tc>
          <w:tcPr>
            <w:tcW w:w="1035" w:type="pct"/>
            <w:shd w:val="clear" w:color="auto" w:fill="auto"/>
            <w:noWrap/>
            <w:vAlign w:val="bottom"/>
            <w:hideMark/>
          </w:tcPr>
          <w:p w14:paraId="438BE934"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0.77</w:t>
            </w:r>
          </w:p>
        </w:tc>
        <w:tc>
          <w:tcPr>
            <w:tcW w:w="1812" w:type="pct"/>
            <w:shd w:val="clear" w:color="auto" w:fill="auto"/>
            <w:noWrap/>
            <w:vAlign w:val="bottom"/>
            <w:hideMark/>
          </w:tcPr>
          <w:p w14:paraId="697E39D8" w14:textId="77777777" w:rsidR="00BB718B" w:rsidRPr="00CD7FE8" w:rsidRDefault="00BB718B" w:rsidP="00BB718B">
            <w:pPr>
              <w:spacing w:after="0" w:line="240" w:lineRule="auto"/>
              <w:jc w:val="right"/>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0.03</w:t>
            </w:r>
          </w:p>
        </w:tc>
      </w:tr>
    </w:tbl>
    <w:p w14:paraId="3DA0CEE1" w14:textId="77777777" w:rsidR="00BB718B" w:rsidRDefault="00BB718B" w:rsidP="001B14A2">
      <w:pPr>
        <w:rPr>
          <w:rFonts w:ascii="Arial" w:hAnsi="Arial" w:cs="Arial"/>
          <w:bCs/>
          <w:sz w:val="24"/>
        </w:rPr>
      </w:pPr>
    </w:p>
    <w:p w14:paraId="5D2D5944" w14:textId="77777777" w:rsidR="001B14A2" w:rsidRPr="001B14A2" w:rsidRDefault="001B14A2" w:rsidP="001B14A2">
      <w:pPr>
        <w:rPr>
          <w:rFonts w:ascii="Arial" w:hAnsi="Arial" w:cs="Arial"/>
          <w:bCs/>
          <w:sz w:val="24"/>
        </w:rPr>
      </w:pPr>
      <w:r w:rsidRPr="001B14A2">
        <w:rPr>
          <w:rFonts w:ascii="Arial" w:hAnsi="Arial" w:cs="Arial"/>
          <w:bCs/>
          <w:sz w:val="24"/>
        </w:rPr>
        <w:t xml:space="preserve">In the year ahead, work will begin on reviewing the design of the DES program in the lead-up to the end of current contracts in March 2018. NDS is keen that this review </w:t>
      </w:r>
      <w:r w:rsidR="001C7EC5">
        <w:rPr>
          <w:rFonts w:ascii="Arial" w:hAnsi="Arial" w:cs="Arial"/>
          <w:bCs/>
          <w:sz w:val="24"/>
        </w:rPr>
        <w:t>consider</w:t>
      </w:r>
      <w:r w:rsidRPr="001B14A2">
        <w:rPr>
          <w:rFonts w:ascii="Arial" w:hAnsi="Arial" w:cs="Arial"/>
          <w:bCs/>
          <w:sz w:val="24"/>
        </w:rPr>
        <w:t xml:space="preserve"> the alignment of the DES program with NDIS design principles, including participant choice, a focus on the long-term benefits of early investment, and individualised plans constructed around a participant’s needs and goals across life domains.</w:t>
      </w:r>
    </w:p>
    <w:p w14:paraId="2FC66324" w14:textId="77777777" w:rsidR="001B14A2" w:rsidRPr="009F76FA" w:rsidRDefault="001B14A2" w:rsidP="001B14A2">
      <w:pPr>
        <w:rPr>
          <w:rFonts w:ascii="Arial" w:hAnsi="Arial" w:cs="Arial"/>
          <w:bCs/>
          <w:sz w:val="24"/>
        </w:rPr>
      </w:pPr>
      <w:r w:rsidRPr="001B14A2">
        <w:rPr>
          <w:rFonts w:ascii="Arial" w:hAnsi="Arial" w:cs="Arial"/>
          <w:bCs/>
          <w:sz w:val="24"/>
        </w:rPr>
        <w:t>At present, specialist employment services for people with disability sit in two silos (open and supported) with the pathway between them difficult to traverse</w:t>
      </w:r>
      <w:r w:rsidR="00E54DA4">
        <w:rPr>
          <w:rFonts w:ascii="Arial" w:hAnsi="Arial" w:cs="Arial"/>
          <w:bCs/>
          <w:sz w:val="24"/>
        </w:rPr>
        <w:t xml:space="preserve"> (for example, to engage with a </w:t>
      </w:r>
      <w:r w:rsidRPr="001B14A2">
        <w:rPr>
          <w:rFonts w:ascii="Arial" w:hAnsi="Arial" w:cs="Arial"/>
          <w:bCs/>
          <w:sz w:val="24"/>
        </w:rPr>
        <w:t>DES</w:t>
      </w:r>
      <w:r w:rsidR="00E54DA4">
        <w:rPr>
          <w:rFonts w:ascii="Arial" w:hAnsi="Arial" w:cs="Arial"/>
          <w:bCs/>
          <w:sz w:val="24"/>
        </w:rPr>
        <w:t>,</w:t>
      </w:r>
      <w:r w:rsidRPr="001B14A2">
        <w:rPr>
          <w:rFonts w:ascii="Arial" w:hAnsi="Arial" w:cs="Arial"/>
          <w:bCs/>
          <w:sz w:val="24"/>
        </w:rPr>
        <w:t xml:space="preserve"> a supported employee must first resign from their ADE). The future is likely to see the evolution of a more diverse spectrum of employment models and options for people with disability, with a reduction of programmatic barriers</w:t>
      </w:r>
      <w:r w:rsidR="00E54DA4" w:rsidRPr="00E54DA4">
        <w:rPr>
          <w:rFonts w:ascii="Arial" w:hAnsi="Arial" w:cs="Arial"/>
          <w:bCs/>
          <w:sz w:val="24"/>
        </w:rPr>
        <w:t>.</w:t>
      </w:r>
      <w:r w:rsidR="009F76FA" w:rsidRPr="001B14A2">
        <w:rPr>
          <w:rFonts w:ascii="Arial" w:hAnsi="Arial" w:cs="Arial"/>
          <w:bCs/>
          <w:color w:val="FF0000"/>
          <w:sz w:val="24"/>
        </w:rPr>
        <w:t xml:space="preserve"> </w:t>
      </w:r>
    </w:p>
    <w:p w14:paraId="68D622F5" w14:textId="77777777" w:rsidR="0060335E" w:rsidRDefault="0060335E">
      <w:pPr>
        <w:rPr>
          <w:rFonts w:ascii="Arial" w:hAnsi="Arial" w:cs="Arial"/>
          <w:sz w:val="24"/>
        </w:rPr>
      </w:pPr>
      <w:r>
        <w:rPr>
          <w:rFonts w:ascii="Arial" w:hAnsi="Arial" w:cs="Arial"/>
          <w:sz w:val="24"/>
        </w:rPr>
        <w:br w:type="page"/>
      </w:r>
    </w:p>
    <w:p w14:paraId="7A080AC2" w14:textId="77777777" w:rsidR="00866FE9" w:rsidRPr="0060335E" w:rsidRDefault="00866FE9" w:rsidP="00143028">
      <w:pPr>
        <w:pStyle w:val="Heading1"/>
      </w:pPr>
      <w:bookmarkStart w:id="203" w:name="_Toc403038255"/>
      <w:bookmarkStart w:id="204" w:name="_Toc403051788"/>
      <w:bookmarkStart w:id="205" w:name="_Toc405797902"/>
      <w:r w:rsidRPr="0060335E">
        <w:lastRenderedPageBreak/>
        <w:t>Workforce sustainability</w:t>
      </w:r>
      <w:bookmarkEnd w:id="203"/>
      <w:bookmarkEnd w:id="204"/>
      <w:bookmarkEnd w:id="205"/>
      <w:r w:rsidRPr="0060335E">
        <w:t xml:space="preserve"> </w:t>
      </w:r>
    </w:p>
    <w:p w14:paraId="2191BB0D" w14:textId="77777777" w:rsidR="004A1E5A" w:rsidRPr="004A1E5A" w:rsidRDefault="004A1E5A" w:rsidP="004A1E5A">
      <w:pPr>
        <w:spacing w:before="240" w:after="120"/>
        <w:rPr>
          <w:rFonts w:ascii="Arial" w:hAnsi="Arial" w:cs="Arial"/>
          <w:sz w:val="24"/>
          <w:szCs w:val="24"/>
        </w:rPr>
      </w:pPr>
      <w:bookmarkStart w:id="206" w:name="_Toc402532497"/>
      <w:bookmarkStart w:id="207" w:name="_Toc402940545"/>
      <w:bookmarkStart w:id="208" w:name="_Toc403038256"/>
      <w:bookmarkStart w:id="209" w:name="_Toc403043450"/>
      <w:bookmarkStart w:id="210" w:name="_Toc403043534"/>
      <w:bookmarkStart w:id="211" w:name="_Toc403043618"/>
      <w:bookmarkStart w:id="212" w:name="_Toc403043708"/>
      <w:bookmarkStart w:id="213" w:name="_Toc403047813"/>
      <w:bookmarkStart w:id="214" w:name="_Toc403051789"/>
      <w:bookmarkStart w:id="215" w:name="_Toc403332115"/>
      <w:bookmarkStart w:id="216" w:name="_Toc403895998"/>
      <w:bookmarkStart w:id="217" w:name="_Toc403896065"/>
      <w:bookmarkStart w:id="218" w:name="_Toc403897097"/>
      <w:bookmarkStart w:id="219" w:name="_Toc403900512"/>
      <w:bookmarkStart w:id="220" w:name="_Toc403900612"/>
      <w:bookmarkStart w:id="221" w:name="_Toc403900684"/>
      <w:bookmarkStart w:id="222" w:name="_Toc403900986"/>
      <w:bookmarkStart w:id="223" w:name="_Toc404000327"/>
      <w:bookmarkStart w:id="224" w:name="_Toc404000416"/>
      <w:bookmarkStart w:id="225" w:name="_Toc404000602"/>
      <w:bookmarkStart w:id="226" w:name="_Toc404000668"/>
      <w:bookmarkStart w:id="227" w:name="_Toc404089635"/>
      <w:bookmarkStart w:id="228" w:name="_Toc404089700"/>
      <w:bookmarkStart w:id="229" w:name="_Toc404089765"/>
      <w:bookmarkStart w:id="230" w:name="_Toc404089878"/>
      <w:bookmarkStart w:id="231" w:name="_Toc404089942"/>
      <w:bookmarkStart w:id="232" w:name="_Toc404255283"/>
      <w:bookmarkStart w:id="233" w:name="_Toc404255348"/>
      <w:bookmarkStart w:id="234" w:name="_Toc404255441"/>
      <w:bookmarkStart w:id="235" w:name="_Toc365389927"/>
      <w:bookmarkStart w:id="236" w:name="_Toc36537943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4A1E5A">
        <w:rPr>
          <w:rFonts w:ascii="Arial" w:hAnsi="Arial" w:cs="Arial"/>
          <w:sz w:val="24"/>
          <w:szCs w:val="24"/>
        </w:rPr>
        <w:t>The NDIS amplifies and modifies disability workforce demand</w:t>
      </w:r>
      <w:r>
        <w:rPr>
          <w:rFonts w:ascii="Arial" w:hAnsi="Arial" w:cs="Arial"/>
          <w:sz w:val="24"/>
          <w:szCs w:val="24"/>
        </w:rPr>
        <w:t>;</w:t>
      </w:r>
      <w:r w:rsidRPr="004A1E5A">
        <w:rPr>
          <w:rFonts w:ascii="Arial" w:hAnsi="Arial" w:cs="Arial"/>
          <w:sz w:val="24"/>
          <w:szCs w:val="24"/>
        </w:rPr>
        <w:t xml:space="preserve"> the rapid growth over the next five years will pose significant workforce sustainability risks. To help address these risks</w:t>
      </w:r>
      <w:r>
        <w:rPr>
          <w:rFonts w:ascii="Arial" w:hAnsi="Arial" w:cs="Arial"/>
          <w:sz w:val="24"/>
          <w:szCs w:val="24"/>
        </w:rPr>
        <w:t>,</w:t>
      </w:r>
      <w:r w:rsidRPr="004A1E5A">
        <w:rPr>
          <w:rFonts w:ascii="Arial" w:hAnsi="Arial" w:cs="Arial"/>
          <w:sz w:val="24"/>
          <w:szCs w:val="24"/>
        </w:rPr>
        <w:t xml:space="preserve"> NDS led a research and policy project to develop advice for the </w:t>
      </w:r>
      <w:r>
        <w:rPr>
          <w:rFonts w:ascii="Arial" w:hAnsi="Arial" w:cs="Arial"/>
          <w:sz w:val="24"/>
          <w:szCs w:val="24"/>
        </w:rPr>
        <w:t>Australian G</w:t>
      </w:r>
      <w:r w:rsidRPr="004A1E5A">
        <w:rPr>
          <w:rFonts w:ascii="Arial" w:hAnsi="Arial" w:cs="Arial"/>
          <w:sz w:val="24"/>
          <w:szCs w:val="24"/>
        </w:rPr>
        <w:t>overnment on a National Disability Workforce Strategy. The final report</w:t>
      </w:r>
      <w:r>
        <w:rPr>
          <w:rFonts w:ascii="Arial" w:hAnsi="Arial" w:cs="Arial"/>
          <w:sz w:val="24"/>
          <w:szCs w:val="24"/>
        </w:rPr>
        <w:t>, ‘</w:t>
      </w:r>
      <w:r w:rsidRPr="004A1E5A">
        <w:rPr>
          <w:rFonts w:ascii="Arial" w:hAnsi="Arial" w:cs="Arial"/>
          <w:sz w:val="24"/>
          <w:szCs w:val="24"/>
        </w:rPr>
        <w:t>Roadmap to a Sustainable Workforce</w:t>
      </w:r>
      <w:r>
        <w:rPr>
          <w:rFonts w:ascii="Arial" w:hAnsi="Arial" w:cs="Arial"/>
          <w:sz w:val="24"/>
          <w:szCs w:val="24"/>
        </w:rPr>
        <w:t>’,</w:t>
      </w:r>
      <w:r w:rsidRPr="004A1E5A">
        <w:rPr>
          <w:rFonts w:ascii="Arial" w:hAnsi="Arial" w:cs="Arial"/>
          <w:sz w:val="24"/>
          <w:szCs w:val="24"/>
        </w:rPr>
        <w:t xml:space="preserve"> was </w:t>
      </w:r>
      <w:r w:rsidR="00331113">
        <w:rPr>
          <w:rFonts w:ascii="Arial" w:hAnsi="Arial" w:cs="Arial"/>
          <w:sz w:val="24"/>
          <w:szCs w:val="24"/>
        </w:rPr>
        <w:t>delivered</w:t>
      </w:r>
      <w:r w:rsidRPr="004A1E5A">
        <w:rPr>
          <w:rFonts w:ascii="Arial" w:hAnsi="Arial" w:cs="Arial"/>
          <w:sz w:val="24"/>
          <w:szCs w:val="24"/>
        </w:rPr>
        <w:t xml:space="preserve"> in October and will inform COAG negotiations. </w:t>
      </w:r>
    </w:p>
    <w:p w14:paraId="6EC19DE3" w14:textId="77777777" w:rsidR="004A1E5A" w:rsidRPr="004A1E5A" w:rsidRDefault="004A1E5A" w:rsidP="004A1E5A">
      <w:pPr>
        <w:spacing w:before="240" w:after="120"/>
        <w:rPr>
          <w:rFonts w:ascii="Arial" w:hAnsi="Arial" w:cs="Arial"/>
          <w:sz w:val="24"/>
          <w:szCs w:val="24"/>
        </w:rPr>
      </w:pPr>
      <w:r w:rsidRPr="004A1E5A">
        <w:rPr>
          <w:rFonts w:ascii="Arial" w:hAnsi="Arial" w:cs="Arial"/>
          <w:sz w:val="24"/>
          <w:szCs w:val="24"/>
        </w:rPr>
        <w:t>This strategy work has also provided useful input to the National Workfo</w:t>
      </w:r>
      <w:r>
        <w:rPr>
          <w:rFonts w:ascii="Arial" w:hAnsi="Arial" w:cs="Arial"/>
          <w:sz w:val="24"/>
          <w:szCs w:val="24"/>
        </w:rPr>
        <w:t xml:space="preserve">rce Innovation Network project, </w:t>
      </w:r>
      <w:r w:rsidRPr="004A1E5A">
        <w:rPr>
          <w:rFonts w:ascii="Arial" w:hAnsi="Arial" w:cs="Arial"/>
          <w:sz w:val="24"/>
          <w:szCs w:val="24"/>
        </w:rPr>
        <w:t xml:space="preserve">led by NDS and funded by the Department of Industry. </w:t>
      </w:r>
      <w:r w:rsidR="00B35F76">
        <w:rPr>
          <w:rFonts w:ascii="Arial" w:hAnsi="Arial" w:cs="Arial"/>
          <w:sz w:val="24"/>
          <w:szCs w:val="24"/>
        </w:rPr>
        <w:t>A</w:t>
      </w:r>
      <w:r w:rsidRPr="004A1E5A">
        <w:rPr>
          <w:rFonts w:ascii="Arial" w:hAnsi="Arial" w:cs="Arial"/>
          <w:sz w:val="24"/>
          <w:szCs w:val="24"/>
        </w:rPr>
        <w:t xml:space="preserve"> new workforce advis</w:t>
      </w:r>
      <w:r>
        <w:rPr>
          <w:rFonts w:ascii="Arial" w:hAnsi="Arial" w:cs="Arial"/>
          <w:sz w:val="24"/>
          <w:szCs w:val="24"/>
        </w:rPr>
        <w:t>e</w:t>
      </w:r>
      <w:r w:rsidRPr="004A1E5A">
        <w:rPr>
          <w:rFonts w:ascii="Arial" w:hAnsi="Arial" w:cs="Arial"/>
          <w:sz w:val="24"/>
          <w:szCs w:val="24"/>
        </w:rPr>
        <w:t xml:space="preserve">r commenced work </w:t>
      </w:r>
      <w:r w:rsidR="00B35F76">
        <w:rPr>
          <w:rFonts w:ascii="Arial" w:hAnsi="Arial" w:cs="Arial"/>
          <w:sz w:val="24"/>
          <w:szCs w:val="24"/>
        </w:rPr>
        <w:t>in</w:t>
      </w:r>
      <w:r w:rsidR="00B35F76" w:rsidRPr="004A1E5A">
        <w:rPr>
          <w:rFonts w:ascii="Arial" w:hAnsi="Arial" w:cs="Arial"/>
          <w:sz w:val="24"/>
          <w:szCs w:val="24"/>
        </w:rPr>
        <w:t xml:space="preserve"> each state and territory </w:t>
      </w:r>
      <w:r w:rsidRPr="004A1E5A">
        <w:rPr>
          <w:rFonts w:ascii="Arial" w:hAnsi="Arial" w:cs="Arial"/>
          <w:sz w:val="24"/>
          <w:szCs w:val="24"/>
        </w:rPr>
        <w:t>in July 2014. This project aims to assist providers with workforce planning, collect and share good practices</w:t>
      </w:r>
      <w:r>
        <w:rPr>
          <w:rFonts w:ascii="Arial" w:hAnsi="Arial" w:cs="Arial"/>
          <w:sz w:val="24"/>
          <w:szCs w:val="24"/>
        </w:rPr>
        <w:t>,</w:t>
      </w:r>
      <w:r w:rsidRPr="004A1E5A">
        <w:rPr>
          <w:rFonts w:ascii="Arial" w:hAnsi="Arial" w:cs="Arial"/>
          <w:sz w:val="24"/>
          <w:szCs w:val="24"/>
        </w:rPr>
        <w:t xml:space="preserve"> undertake data collection and develop regional plans. </w:t>
      </w:r>
    </w:p>
    <w:p w14:paraId="14D30833" w14:textId="77777777" w:rsidR="00866FE9" w:rsidRPr="00AB4D29" w:rsidRDefault="00B879AA" w:rsidP="001F094B">
      <w:pPr>
        <w:pStyle w:val="Heading2"/>
      </w:pPr>
      <w:bookmarkStart w:id="237" w:name="_Toc404089944"/>
      <w:r>
        <w:t>W</w:t>
      </w:r>
      <w:r w:rsidR="00866FE9" w:rsidRPr="00AB4D29">
        <w:t>ill the sector run out of workers?</w:t>
      </w:r>
      <w:bookmarkEnd w:id="237"/>
    </w:p>
    <w:p w14:paraId="7EEE5461" w14:textId="77777777" w:rsidR="00866FE9" w:rsidRPr="00AB4D29" w:rsidRDefault="00866FE9" w:rsidP="004E7B04">
      <w:pPr>
        <w:rPr>
          <w:rFonts w:ascii="Arial" w:hAnsi="Arial" w:cs="Arial"/>
          <w:sz w:val="24"/>
          <w:szCs w:val="24"/>
        </w:rPr>
      </w:pPr>
      <w:r w:rsidRPr="00AB4D29">
        <w:rPr>
          <w:rFonts w:ascii="Arial" w:hAnsi="Arial" w:cs="Arial"/>
          <w:sz w:val="24"/>
          <w:szCs w:val="24"/>
        </w:rPr>
        <w:t xml:space="preserve">Difficulty in recruiting competent staff is a concern for most NDS members when they consider the future. Among respondents to the NDS Business Confidence </w:t>
      </w:r>
      <w:r w:rsidR="00C534D6">
        <w:rPr>
          <w:rFonts w:ascii="Arial" w:hAnsi="Arial" w:cs="Arial"/>
          <w:sz w:val="24"/>
          <w:szCs w:val="24"/>
        </w:rPr>
        <w:t>Survey</w:t>
      </w:r>
      <w:r w:rsidRPr="00AB4D29">
        <w:rPr>
          <w:rFonts w:ascii="Arial" w:hAnsi="Arial" w:cs="Arial"/>
          <w:sz w:val="24"/>
          <w:szCs w:val="24"/>
        </w:rPr>
        <w:t>:</w:t>
      </w:r>
    </w:p>
    <w:p w14:paraId="182814DC" w14:textId="77777777" w:rsidR="00866FE9" w:rsidRPr="00AB4D29" w:rsidRDefault="001133F4" w:rsidP="008115DE">
      <w:pPr>
        <w:pStyle w:val="ListParagraph"/>
        <w:numPr>
          <w:ilvl w:val="0"/>
          <w:numId w:val="7"/>
        </w:numPr>
        <w:rPr>
          <w:rFonts w:ascii="Arial" w:hAnsi="Arial" w:cs="Arial"/>
          <w:sz w:val="24"/>
          <w:szCs w:val="24"/>
        </w:rPr>
      </w:pPr>
      <w:r w:rsidRPr="00AB4D29">
        <w:rPr>
          <w:rFonts w:ascii="Arial" w:hAnsi="Arial" w:cs="Arial"/>
          <w:sz w:val="24"/>
          <w:szCs w:val="24"/>
        </w:rPr>
        <w:t>about</w:t>
      </w:r>
      <w:r w:rsidR="00B879AA">
        <w:rPr>
          <w:rFonts w:ascii="Arial" w:hAnsi="Arial" w:cs="Arial"/>
          <w:sz w:val="24"/>
          <w:szCs w:val="24"/>
        </w:rPr>
        <w:t xml:space="preserve"> two thirds expect</w:t>
      </w:r>
      <w:r w:rsidR="00866FE9" w:rsidRPr="00AB4D29">
        <w:rPr>
          <w:rFonts w:ascii="Arial" w:hAnsi="Arial" w:cs="Arial"/>
          <w:sz w:val="24"/>
          <w:szCs w:val="24"/>
        </w:rPr>
        <w:t xml:space="preserve"> difficulties in recruiting both paid staff (permanent and casual) and volunteers over the next six months</w:t>
      </w:r>
    </w:p>
    <w:p w14:paraId="54B50D11" w14:textId="77777777" w:rsidR="00866FE9" w:rsidRPr="00AB4D29" w:rsidRDefault="00866FE9" w:rsidP="008115DE">
      <w:pPr>
        <w:pStyle w:val="ListParagraph"/>
        <w:numPr>
          <w:ilvl w:val="0"/>
          <w:numId w:val="7"/>
        </w:numPr>
        <w:rPr>
          <w:rFonts w:ascii="Arial" w:hAnsi="Arial" w:cs="Arial"/>
          <w:sz w:val="24"/>
          <w:szCs w:val="24"/>
        </w:rPr>
      </w:pPr>
      <w:r w:rsidRPr="00AB4D29">
        <w:rPr>
          <w:rFonts w:ascii="Arial" w:hAnsi="Arial" w:cs="Arial"/>
          <w:sz w:val="24"/>
          <w:szCs w:val="24"/>
        </w:rPr>
        <w:t xml:space="preserve">seven in </w:t>
      </w:r>
      <w:r w:rsidR="001133F4" w:rsidRPr="00AB4D29">
        <w:rPr>
          <w:rFonts w:ascii="Arial" w:hAnsi="Arial" w:cs="Arial"/>
          <w:sz w:val="24"/>
          <w:szCs w:val="24"/>
        </w:rPr>
        <w:t>10</w:t>
      </w:r>
      <w:r w:rsidR="00B879AA">
        <w:rPr>
          <w:rFonts w:ascii="Arial" w:hAnsi="Arial" w:cs="Arial"/>
          <w:sz w:val="24"/>
          <w:szCs w:val="24"/>
        </w:rPr>
        <w:t xml:space="preserve"> expect</w:t>
      </w:r>
      <w:r w:rsidRPr="00AB4D29">
        <w:rPr>
          <w:rFonts w:ascii="Arial" w:hAnsi="Arial" w:cs="Arial"/>
          <w:sz w:val="24"/>
          <w:szCs w:val="24"/>
        </w:rPr>
        <w:t xml:space="preserve"> difficulties in recruiting leaders and managers.</w:t>
      </w:r>
    </w:p>
    <w:p w14:paraId="40C33A84" w14:textId="77777777" w:rsidR="00866FE9" w:rsidRPr="000474CD" w:rsidRDefault="00866FE9" w:rsidP="000474CD">
      <w:pPr>
        <w:rPr>
          <w:rFonts w:ascii="Arial" w:hAnsi="Arial" w:cs="Arial"/>
          <w:sz w:val="24"/>
          <w:szCs w:val="24"/>
        </w:rPr>
      </w:pPr>
      <w:r w:rsidRPr="000474CD">
        <w:rPr>
          <w:rFonts w:ascii="Arial" w:hAnsi="Arial" w:cs="Arial"/>
          <w:sz w:val="24"/>
          <w:szCs w:val="24"/>
        </w:rPr>
        <w:t>In the 2013-14 NDIS trial sites</w:t>
      </w:r>
      <w:r w:rsidR="00B44C49">
        <w:rPr>
          <w:rFonts w:ascii="Arial" w:hAnsi="Arial" w:cs="Arial"/>
          <w:sz w:val="24"/>
          <w:szCs w:val="24"/>
        </w:rPr>
        <w:t>,</w:t>
      </w:r>
      <w:r w:rsidRPr="000474CD">
        <w:rPr>
          <w:rFonts w:ascii="Arial" w:hAnsi="Arial" w:cs="Arial"/>
          <w:sz w:val="24"/>
          <w:szCs w:val="24"/>
        </w:rPr>
        <w:t xml:space="preserve"> however, research found that although services were growing quickly, they were able to recruit to keep up with </w:t>
      </w:r>
      <w:r w:rsidR="00197229" w:rsidRPr="000474CD">
        <w:rPr>
          <w:rFonts w:ascii="Arial" w:hAnsi="Arial" w:cs="Arial"/>
          <w:sz w:val="24"/>
          <w:szCs w:val="24"/>
        </w:rPr>
        <w:t>the limited growth</w:t>
      </w:r>
      <w:r w:rsidR="00B44C49">
        <w:rPr>
          <w:rFonts w:ascii="Arial" w:hAnsi="Arial" w:cs="Arial"/>
          <w:sz w:val="24"/>
          <w:szCs w:val="24"/>
        </w:rPr>
        <w:t xml:space="preserve">. </w:t>
      </w:r>
      <w:r w:rsidR="00197229" w:rsidRPr="000474CD">
        <w:rPr>
          <w:rFonts w:ascii="Arial" w:hAnsi="Arial" w:cs="Arial"/>
          <w:sz w:val="24"/>
          <w:szCs w:val="24"/>
        </w:rPr>
        <w:t>The real pressure</w:t>
      </w:r>
      <w:r w:rsidR="00B44C49">
        <w:rPr>
          <w:rFonts w:ascii="Arial" w:hAnsi="Arial" w:cs="Arial"/>
          <w:sz w:val="24"/>
          <w:szCs w:val="24"/>
        </w:rPr>
        <w:t xml:space="preserve"> will come in the run-</w:t>
      </w:r>
      <w:r w:rsidR="001133F4" w:rsidRPr="000474CD">
        <w:rPr>
          <w:rFonts w:ascii="Arial" w:hAnsi="Arial" w:cs="Arial"/>
          <w:sz w:val="24"/>
          <w:szCs w:val="24"/>
        </w:rPr>
        <w:t xml:space="preserve">up to </w:t>
      </w:r>
      <w:r w:rsidR="00197229" w:rsidRPr="000474CD">
        <w:rPr>
          <w:rFonts w:ascii="Arial" w:hAnsi="Arial" w:cs="Arial"/>
          <w:sz w:val="24"/>
          <w:szCs w:val="24"/>
        </w:rPr>
        <w:t xml:space="preserve">full </w:t>
      </w:r>
      <w:r w:rsidR="00B879AA">
        <w:rPr>
          <w:rFonts w:ascii="Arial" w:hAnsi="Arial" w:cs="Arial"/>
          <w:sz w:val="24"/>
          <w:szCs w:val="24"/>
        </w:rPr>
        <w:t xml:space="preserve">NDIS </w:t>
      </w:r>
      <w:r w:rsidR="00197229" w:rsidRPr="000474CD">
        <w:rPr>
          <w:rFonts w:ascii="Arial" w:hAnsi="Arial" w:cs="Arial"/>
          <w:sz w:val="24"/>
          <w:szCs w:val="24"/>
        </w:rPr>
        <w:t>ro</w:t>
      </w:r>
      <w:r w:rsidR="001133F4" w:rsidRPr="000474CD">
        <w:rPr>
          <w:rFonts w:ascii="Arial" w:hAnsi="Arial" w:cs="Arial"/>
          <w:sz w:val="24"/>
          <w:szCs w:val="24"/>
        </w:rPr>
        <w:t>ll</w:t>
      </w:r>
      <w:r w:rsidR="00197229" w:rsidRPr="000474CD">
        <w:rPr>
          <w:rFonts w:ascii="Arial" w:hAnsi="Arial" w:cs="Arial"/>
          <w:sz w:val="24"/>
          <w:szCs w:val="24"/>
        </w:rPr>
        <w:t>out</w:t>
      </w:r>
      <w:r w:rsidR="001133F4" w:rsidRPr="000474CD">
        <w:rPr>
          <w:rFonts w:ascii="Arial" w:hAnsi="Arial" w:cs="Arial"/>
          <w:sz w:val="24"/>
          <w:szCs w:val="24"/>
        </w:rPr>
        <w:t>,</w:t>
      </w:r>
      <w:r w:rsidR="000474CD" w:rsidRPr="000474CD">
        <w:rPr>
          <w:rFonts w:ascii="Arial" w:hAnsi="Arial" w:cs="Arial"/>
          <w:sz w:val="24"/>
          <w:szCs w:val="24"/>
        </w:rPr>
        <w:t xml:space="preserve"> </w:t>
      </w:r>
      <w:r w:rsidR="00B879AA">
        <w:rPr>
          <w:rFonts w:ascii="Arial" w:hAnsi="Arial" w:cs="Arial"/>
          <w:sz w:val="24"/>
          <w:szCs w:val="24"/>
        </w:rPr>
        <w:t>when</w:t>
      </w:r>
      <w:r w:rsidR="000474CD" w:rsidRPr="000474CD">
        <w:rPr>
          <w:rFonts w:ascii="Arial" w:hAnsi="Arial" w:cs="Arial"/>
          <w:sz w:val="24"/>
          <w:szCs w:val="24"/>
        </w:rPr>
        <w:t xml:space="preserve"> competition for workers</w:t>
      </w:r>
      <w:r w:rsidR="001133F4" w:rsidRPr="000474CD">
        <w:rPr>
          <w:rFonts w:ascii="Arial" w:hAnsi="Arial" w:cs="Arial"/>
          <w:sz w:val="24"/>
          <w:szCs w:val="24"/>
        </w:rPr>
        <w:t xml:space="preserve"> will intensify</w:t>
      </w:r>
      <w:r w:rsidR="00FF62B5">
        <w:rPr>
          <w:rFonts w:ascii="Arial" w:hAnsi="Arial" w:cs="Arial"/>
          <w:sz w:val="24"/>
          <w:szCs w:val="24"/>
        </w:rPr>
        <w:t>, and n</w:t>
      </w:r>
      <w:r w:rsidR="008E0B37">
        <w:rPr>
          <w:rFonts w:ascii="Arial" w:hAnsi="Arial" w:cs="Arial"/>
          <w:sz w:val="24"/>
          <w:szCs w:val="24"/>
        </w:rPr>
        <w:t xml:space="preserve">ew </w:t>
      </w:r>
      <w:r w:rsidR="00B879AA">
        <w:rPr>
          <w:rFonts w:ascii="Arial" w:hAnsi="Arial" w:cs="Arial"/>
          <w:sz w:val="24"/>
          <w:szCs w:val="24"/>
        </w:rPr>
        <w:t>providers may</w:t>
      </w:r>
      <w:r w:rsidR="00F91CB5" w:rsidRPr="000474CD">
        <w:rPr>
          <w:rFonts w:ascii="Arial" w:hAnsi="Arial" w:cs="Arial"/>
          <w:sz w:val="24"/>
          <w:szCs w:val="24"/>
        </w:rPr>
        <w:t xml:space="preserve"> attempt to </w:t>
      </w:r>
      <w:r w:rsidR="001133F4" w:rsidRPr="000474CD">
        <w:rPr>
          <w:rFonts w:ascii="Arial" w:hAnsi="Arial" w:cs="Arial"/>
          <w:sz w:val="24"/>
          <w:szCs w:val="24"/>
        </w:rPr>
        <w:t>“</w:t>
      </w:r>
      <w:r w:rsidR="00197229" w:rsidRPr="000474CD">
        <w:rPr>
          <w:rFonts w:ascii="Arial" w:hAnsi="Arial" w:cs="Arial"/>
          <w:sz w:val="24"/>
          <w:szCs w:val="24"/>
        </w:rPr>
        <w:t>cherry pick</w:t>
      </w:r>
      <w:r w:rsidR="001133F4" w:rsidRPr="000474CD">
        <w:rPr>
          <w:rFonts w:ascii="Arial" w:hAnsi="Arial" w:cs="Arial"/>
          <w:sz w:val="24"/>
          <w:szCs w:val="24"/>
        </w:rPr>
        <w:t>”</w:t>
      </w:r>
      <w:r w:rsidR="00197229" w:rsidRPr="000474CD">
        <w:rPr>
          <w:rFonts w:ascii="Arial" w:hAnsi="Arial" w:cs="Arial"/>
          <w:sz w:val="24"/>
          <w:szCs w:val="24"/>
        </w:rPr>
        <w:t xml:space="preserve"> staff </w:t>
      </w:r>
      <w:r w:rsidR="00B879AA">
        <w:rPr>
          <w:rFonts w:ascii="Arial" w:hAnsi="Arial" w:cs="Arial"/>
          <w:sz w:val="24"/>
          <w:szCs w:val="24"/>
        </w:rPr>
        <w:t>from</w:t>
      </w:r>
      <w:r w:rsidR="00197229" w:rsidRPr="000474CD">
        <w:rPr>
          <w:rFonts w:ascii="Arial" w:hAnsi="Arial" w:cs="Arial"/>
          <w:sz w:val="24"/>
          <w:szCs w:val="24"/>
        </w:rPr>
        <w:t xml:space="preserve"> existing providers</w:t>
      </w:r>
      <w:r w:rsidR="000474CD" w:rsidRPr="000474CD">
        <w:rPr>
          <w:rFonts w:ascii="Arial" w:hAnsi="Arial" w:cs="Arial"/>
          <w:sz w:val="24"/>
          <w:szCs w:val="24"/>
        </w:rPr>
        <w:t>.</w:t>
      </w:r>
    </w:p>
    <w:p w14:paraId="1CA89EAA" w14:textId="77777777" w:rsidR="00866FE9" w:rsidRPr="00AB4D29" w:rsidRDefault="00866FE9" w:rsidP="001F094B">
      <w:pPr>
        <w:pStyle w:val="Heading2"/>
      </w:pPr>
      <w:bookmarkStart w:id="238" w:name="_Toc404089945"/>
      <w:r w:rsidRPr="00AB4D29">
        <w:t>The disability sector workforce is relatively small</w:t>
      </w:r>
      <w:bookmarkEnd w:id="238"/>
      <w:r w:rsidR="005B4B28">
        <w:t xml:space="preserve"> but growing rapidly</w:t>
      </w:r>
    </w:p>
    <w:p w14:paraId="0BDBA8E4" w14:textId="77777777" w:rsidR="005B4B28" w:rsidRPr="0060335E" w:rsidRDefault="005B4B28" w:rsidP="005B4B28">
      <w:pPr>
        <w:rPr>
          <w:rFonts w:ascii="Arial" w:hAnsi="Arial" w:cs="Arial"/>
          <w:sz w:val="24"/>
          <w:szCs w:val="24"/>
        </w:rPr>
      </w:pPr>
      <w:r w:rsidRPr="00AB4D29">
        <w:rPr>
          <w:rFonts w:ascii="Arial" w:hAnsi="Arial" w:cs="Arial"/>
          <w:sz w:val="24"/>
          <w:szCs w:val="24"/>
        </w:rPr>
        <w:t>The disability sector has grown very rapidly in recent years (39% between 2006 and 2011).</w:t>
      </w:r>
      <w:r w:rsidR="00BE4BD9" w:rsidRPr="00AB4D29">
        <w:rPr>
          <w:rFonts w:ascii="Arial" w:hAnsi="Arial" w:cs="Arial"/>
          <w:sz w:val="24"/>
          <w:szCs w:val="24"/>
        </w:rPr>
        <w:t xml:space="preserve"> </w:t>
      </w:r>
      <w:r w:rsidRPr="00AB4D29">
        <w:rPr>
          <w:rFonts w:ascii="Arial" w:hAnsi="Arial" w:cs="Arial"/>
          <w:sz w:val="24"/>
          <w:szCs w:val="24"/>
        </w:rPr>
        <w:t xml:space="preserve">This has been possible, in part, because the sector has low </w:t>
      </w:r>
      <w:r w:rsidR="00FF62B5">
        <w:rPr>
          <w:rFonts w:ascii="Arial" w:hAnsi="Arial" w:cs="Arial"/>
          <w:sz w:val="24"/>
          <w:szCs w:val="24"/>
        </w:rPr>
        <w:t xml:space="preserve">entry </w:t>
      </w:r>
      <w:r w:rsidRPr="00AB4D29">
        <w:rPr>
          <w:rFonts w:ascii="Arial" w:hAnsi="Arial" w:cs="Arial"/>
          <w:sz w:val="24"/>
          <w:szCs w:val="24"/>
        </w:rPr>
        <w:t>barriers and a track record of engaging new people from outside it. Providers favour a ‘place and train’ approach over ‘train and place’</w:t>
      </w:r>
      <w:r w:rsidR="000B68B6">
        <w:rPr>
          <w:rFonts w:ascii="Arial" w:hAnsi="Arial" w:cs="Arial"/>
          <w:sz w:val="24"/>
          <w:szCs w:val="24"/>
        </w:rPr>
        <w:t>, and</w:t>
      </w:r>
      <w:r w:rsidRPr="00AB4D29">
        <w:rPr>
          <w:rFonts w:ascii="Arial" w:hAnsi="Arial" w:cs="Arial"/>
          <w:sz w:val="24"/>
          <w:szCs w:val="24"/>
        </w:rPr>
        <w:t xml:space="preserve"> have been very effective at recruiting certain labour market groups, such as </w:t>
      </w:r>
      <w:r w:rsidRPr="008E0B37">
        <w:rPr>
          <w:rFonts w:ascii="Arial" w:hAnsi="Arial" w:cs="Arial"/>
          <w:sz w:val="24"/>
          <w:szCs w:val="24"/>
        </w:rPr>
        <w:t xml:space="preserve">mature-age </w:t>
      </w:r>
      <w:r w:rsidRPr="00AB4D29">
        <w:rPr>
          <w:rFonts w:ascii="Arial" w:hAnsi="Arial" w:cs="Arial"/>
          <w:sz w:val="24"/>
          <w:szCs w:val="24"/>
        </w:rPr>
        <w:t xml:space="preserve">women. </w:t>
      </w:r>
      <w:r w:rsidRPr="00EF66F6">
        <w:rPr>
          <w:rFonts w:ascii="Arial" w:hAnsi="Arial" w:cs="Arial"/>
          <w:sz w:val="24"/>
          <w:szCs w:val="24"/>
        </w:rPr>
        <w:t>Workforce growth has kept up with, or in some cases outstripped, the growth in funding in most states and territories bet</w:t>
      </w:r>
      <w:r w:rsidR="00E54DA4" w:rsidRPr="00EF66F6">
        <w:rPr>
          <w:rFonts w:ascii="Arial" w:hAnsi="Arial" w:cs="Arial"/>
          <w:sz w:val="24"/>
          <w:szCs w:val="24"/>
        </w:rPr>
        <w:t>ween 2006 and 2011</w:t>
      </w:r>
      <w:r w:rsidRPr="00EF66F6">
        <w:rPr>
          <w:rFonts w:ascii="Arial" w:hAnsi="Arial" w:cs="Arial"/>
          <w:sz w:val="24"/>
          <w:szCs w:val="24"/>
        </w:rPr>
        <w:t>.</w:t>
      </w:r>
    </w:p>
    <w:p w14:paraId="04EAF119" w14:textId="77777777" w:rsidR="00EF66F6" w:rsidRPr="0060335E" w:rsidRDefault="00166B9B" w:rsidP="00166B9B">
      <w:pPr>
        <w:rPr>
          <w:rFonts w:ascii="Arial" w:hAnsi="Arial" w:cs="Arial"/>
          <w:sz w:val="24"/>
          <w:szCs w:val="24"/>
        </w:rPr>
      </w:pPr>
      <w:r w:rsidRPr="0060335E">
        <w:rPr>
          <w:rFonts w:ascii="Arial" w:hAnsi="Arial" w:cs="Arial"/>
          <w:sz w:val="24"/>
          <w:szCs w:val="24"/>
        </w:rPr>
        <w:t xml:space="preserve">The low levels of workforce utilisation seen in the early 2000s (where less than a third of workers were full-time) have been </w:t>
      </w:r>
      <w:r w:rsidR="006C6F59">
        <w:rPr>
          <w:rFonts w:ascii="Arial" w:hAnsi="Arial" w:cs="Arial"/>
          <w:sz w:val="24"/>
          <w:szCs w:val="24"/>
        </w:rPr>
        <w:t>increasing</w:t>
      </w:r>
      <w:r w:rsidRPr="0060335E">
        <w:rPr>
          <w:rFonts w:ascii="Arial" w:hAnsi="Arial" w:cs="Arial"/>
          <w:sz w:val="24"/>
          <w:szCs w:val="24"/>
        </w:rPr>
        <w:t xml:space="preserve"> more recently, with 40-50% of </w:t>
      </w:r>
      <w:r w:rsidR="006C6F59">
        <w:rPr>
          <w:rFonts w:ascii="Arial" w:hAnsi="Arial" w:cs="Arial"/>
          <w:sz w:val="24"/>
          <w:szCs w:val="24"/>
        </w:rPr>
        <w:t xml:space="preserve">disability </w:t>
      </w:r>
      <w:r w:rsidRPr="0060335E">
        <w:rPr>
          <w:rFonts w:ascii="Arial" w:hAnsi="Arial" w:cs="Arial"/>
          <w:sz w:val="24"/>
          <w:szCs w:val="24"/>
        </w:rPr>
        <w:t xml:space="preserve">support workers </w:t>
      </w:r>
      <w:r w:rsidR="006C6F59">
        <w:rPr>
          <w:rFonts w:ascii="Arial" w:hAnsi="Arial" w:cs="Arial"/>
          <w:sz w:val="24"/>
          <w:szCs w:val="24"/>
        </w:rPr>
        <w:t xml:space="preserve">now </w:t>
      </w:r>
      <w:r w:rsidRPr="0060335E">
        <w:rPr>
          <w:rFonts w:ascii="Arial" w:hAnsi="Arial" w:cs="Arial"/>
          <w:sz w:val="24"/>
          <w:szCs w:val="24"/>
        </w:rPr>
        <w:t>working full</w:t>
      </w:r>
      <w:r w:rsidR="006C6F59">
        <w:rPr>
          <w:rFonts w:ascii="Arial" w:hAnsi="Arial" w:cs="Arial"/>
          <w:sz w:val="24"/>
          <w:szCs w:val="24"/>
        </w:rPr>
        <w:t>-</w:t>
      </w:r>
      <w:r w:rsidRPr="0060335E">
        <w:rPr>
          <w:rFonts w:ascii="Arial" w:hAnsi="Arial" w:cs="Arial"/>
          <w:sz w:val="24"/>
          <w:szCs w:val="24"/>
        </w:rPr>
        <w:t xml:space="preserve">time. </w:t>
      </w:r>
      <w:r w:rsidR="00037D40">
        <w:rPr>
          <w:rFonts w:ascii="Arial" w:hAnsi="Arial" w:cs="Arial"/>
          <w:sz w:val="24"/>
          <w:szCs w:val="24"/>
        </w:rPr>
        <w:t xml:space="preserve"> </w:t>
      </w:r>
      <w:r w:rsidR="00EF66F6">
        <w:rPr>
          <w:rFonts w:ascii="Arial" w:hAnsi="Arial" w:cs="Arial"/>
          <w:sz w:val="24"/>
          <w:szCs w:val="24"/>
        </w:rPr>
        <w:t>Projected workforce growth is shown in Figure 1</w:t>
      </w:r>
      <w:r w:rsidR="004733A4">
        <w:rPr>
          <w:rFonts w:ascii="Arial" w:hAnsi="Arial" w:cs="Arial"/>
          <w:sz w:val="24"/>
          <w:szCs w:val="24"/>
        </w:rPr>
        <w:t>1</w:t>
      </w:r>
      <w:r w:rsidR="00EF66F6">
        <w:rPr>
          <w:rFonts w:ascii="Arial" w:hAnsi="Arial" w:cs="Arial"/>
          <w:sz w:val="24"/>
          <w:szCs w:val="24"/>
        </w:rPr>
        <w:t>.</w:t>
      </w:r>
    </w:p>
    <w:p w14:paraId="442FFD63" w14:textId="77777777" w:rsidR="00B44C49" w:rsidRDefault="00B44C49">
      <w:pPr>
        <w:rPr>
          <w:rFonts w:ascii="Arial" w:eastAsiaTheme="majorEastAsia" w:hAnsi="Arial" w:cs="Arial"/>
          <w:iCs/>
          <w:spacing w:val="13"/>
          <w:sz w:val="24"/>
          <w:szCs w:val="24"/>
        </w:rPr>
      </w:pPr>
      <w:r>
        <w:rPr>
          <w:rFonts w:ascii="Arial" w:hAnsi="Arial" w:cs="Arial"/>
          <w:i/>
        </w:rPr>
        <w:br w:type="page"/>
      </w:r>
    </w:p>
    <w:p w14:paraId="00188660" w14:textId="77777777" w:rsidR="00866FE9" w:rsidRPr="00AB4D29" w:rsidRDefault="00E54DA4" w:rsidP="00447F2C">
      <w:pPr>
        <w:pStyle w:val="Subtitle"/>
      </w:pPr>
      <w:r>
        <w:lastRenderedPageBreak/>
        <w:t xml:space="preserve">Figure </w:t>
      </w:r>
      <w:r w:rsidR="00B61CA0">
        <w:t>1</w:t>
      </w:r>
      <w:r w:rsidR="004733A4">
        <w:t>1</w:t>
      </w:r>
      <w:r w:rsidR="00B44C49">
        <w:t xml:space="preserve">: </w:t>
      </w:r>
      <w:r w:rsidR="00AB3212">
        <w:t>projected workforce growth</w:t>
      </w:r>
      <w:r w:rsidR="00866FE9" w:rsidRPr="00AB4D29">
        <w:t>, 2013 to 2018</w:t>
      </w:r>
    </w:p>
    <w:p w14:paraId="47E7C852" w14:textId="77777777" w:rsidR="00866FE9" w:rsidRDefault="00866FE9" w:rsidP="004E7B04">
      <w:pPr>
        <w:rPr>
          <w:rFonts w:ascii="Arial" w:hAnsi="Arial" w:cs="Arial"/>
        </w:rPr>
      </w:pPr>
      <w:r w:rsidRPr="00AB4D29">
        <w:rPr>
          <w:rFonts w:ascii="Arial" w:hAnsi="Arial" w:cs="Arial"/>
          <w:noProof/>
          <w:lang w:eastAsia="en-AU"/>
        </w:rPr>
        <w:drawing>
          <wp:inline distT="0" distB="0" distL="0" distR="0" wp14:anchorId="45C281EB" wp14:editId="51FEF780">
            <wp:extent cx="3614058" cy="2342645"/>
            <wp:effectExtent l="19050" t="19050" r="24765" b="19685"/>
            <wp:docPr id="5" name="Picture 5" descr="The disability workforce as a headcount was 100,500 persons in 2013. This grows to around 205,100 persons in 2018.&#10;The Social Assistanve and Residential Care Services workforce as a headcount was 597,800 persons in 2013. This grows at a slower rate to 674,900 in 2018.&#10;In 2018, the disability workforce makes up a larger proportion of the overall Social Assistance and Residential Care Services workforce then it did in 2013." title="Figure 11: projected workforce growth, 2013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7139" t="27254"/>
                    <a:stretch/>
                  </pic:blipFill>
                  <pic:spPr bwMode="auto">
                    <a:xfrm>
                      <a:off x="0" y="0"/>
                      <a:ext cx="3617731" cy="2345026"/>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21FCDB84" w14:textId="77777777" w:rsidR="00866FE9" w:rsidRPr="00BE4BD9" w:rsidRDefault="00866FE9" w:rsidP="001F094B">
      <w:pPr>
        <w:pStyle w:val="Heading2"/>
      </w:pPr>
      <w:bookmarkStart w:id="239" w:name="_Toc403051794"/>
      <w:bookmarkStart w:id="240" w:name="_Toc404089948"/>
      <w:r w:rsidRPr="00BE4BD9">
        <w:t>Watch-for indicators point to trends in workforce surplus or shortages</w:t>
      </w:r>
      <w:bookmarkEnd w:id="239"/>
      <w:bookmarkEnd w:id="240"/>
    </w:p>
    <w:p w14:paraId="7C7E2360" w14:textId="77777777" w:rsidR="0060335E" w:rsidRPr="0060335E" w:rsidRDefault="0060335E" w:rsidP="0060335E">
      <w:pPr>
        <w:rPr>
          <w:rFonts w:ascii="Arial" w:hAnsi="Arial" w:cs="Arial"/>
          <w:sz w:val="24"/>
          <w:szCs w:val="24"/>
        </w:rPr>
      </w:pPr>
      <w:bookmarkStart w:id="241" w:name="_Toc388622279"/>
      <w:bookmarkStart w:id="242" w:name="_Toc403038272"/>
      <w:bookmarkStart w:id="243" w:name="_Toc403051799"/>
      <w:bookmarkStart w:id="244" w:name="_Toc404089950"/>
      <w:r w:rsidRPr="0060335E">
        <w:rPr>
          <w:rFonts w:ascii="Arial" w:hAnsi="Arial" w:cs="Arial"/>
          <w:sz w:val="24"/>
          <w:szCs w:val="24"/>
        </w:rPr>
        <w:t xml:space="preserve">Understanding where labour market shortages for particular skills </w:t>
      </w:r>
      <w:r w:rsidR="00B44C49">
        <w:rPr>
          <w:rFonts w:ascii="Arial" w:hAnsi="Arial" w:cs="Arial"/>
          <w:sz w:val="24"/>
          <w:szCs w:val="24"/>
        </w:rPr>
        <w:t>are</w:t>
      </w:r>
      <w:r w:rsidRPr="0060335E">
        <w:rPr>
          <w:rFonts w:ascii="Arial" w:hAnsi="Arial" w:cs="Arial"/>
          <w:sz w:val="24"/>
          <w:szCs w:val="24"/>
        </w:rPr>
        <w:t xml:space="preserve"> occurring </w:t>
      </w:r>
      <w:r w:rsidR="00AF6CCE">
        <w:rPr>
          <w:rFonts w:ascii="Arial" w:hAnsi="Arial" w:cs="Arial"/>
          <w:sz w:val="24"/>
          <w:szCs w:val="24"/>
        </w:rPr>
        <w:t>will be</w:t>
      </w:r>
      <w:r w:rsidRPr="0060335E">
        <w:rPr>
          <w:rFonts w:ascii="Arial" w:hAnsi="Arial" w:cs="Arial"/>
          <w:sz w:val="24"/>
          <w:szCs w:val="24"/>
        </w:rPr>
        <w:t xml:space="preserve"> essential to service and workforce planning. Current data does not</w:t>
      </w:r>
      <w:r w:rsidR="00B44C49">
        <w:rPr>
          <w:rFonts w:ascii="Arial" w:hAnsi="Arial" w:cs="Arial"/>
          <w:sz w:val="24"/>
          <w:szCs w:val="24"/>
        </w:rPr>
        <w:t xml:space="preserve"> make it easy to calculate</w:t>
      </w:r>
      <w:r w:rsidRPr="0060335E">
        <w:rPr>
          <w:rFonts w:ascii="Arial" w:hAnsi="Arial" w:cs="Arial"/>
          <w:sz w:val="24"/>
          <w:szCs w:val="24"/>
        </w:rPr>
        <w:t xml:space="preserve"> </w:t>
      </w:r>
      <w:r w:rsidR="00B44C49">
        <w:rPr>
          <w:rFonts w:ascii="Arial" w:hAnsi="Arial" w:cs="Arial"/>
          <w:sz w:val="24"/>
          <w:szCs w:val="24"/>
        </w:rPr>
        <w:t xml:space="preserve">the number of </w:t>
      </w:r>
      <w:r w:rsidRPr="0060335E">
        <w:rPr>
          <w:rFonts w:ascii="Arial" w:hAnsi="Arial" w:cs="Arial"/>
          <w:sz w:val="24"/>
          <w:szCs w:val="24"/>
        </w:rPr>
        <w:t>disability service</w:t>
      </w:r>
      <w:r w:rsidR="00B44C49">
        <w:rPr>
          <w:rFonts w:ascii="Arial" w:hAnsi="Arial" w:cs="Arial"/>
          <w:sz w:val="24"/>
          <w:szCs w:val="24"/>
        </w:rPr>
        <w:t xml:space="preserve"> worker</w:t>
      </w:r>
      <w:r w:rsidRPr="0060335E">
        <w:rPr>
          <w:rFonts w:ascii="Arial" w:hAnsi="Arial" w:cs="Arial"/>
          <w:sz w:val="24"/>
          <w:szCs w:val="24"/>
        </w:rPr>
        <w:t xml:space="preserve">s by location, or details such as their earnings, employment status and hours of work. </w:t>
      </w:r>
    </w:p>
    <w:p w14:paraId="0E202492" w14:textId="77777777" w:rsidR="0060335E" w:rsidRPr="0060335E" w:rsidRDefault="0060335E" w:rsidP="0060335E">
      <w:pPr>
        <w:rPr>
          <w:rFonts w:ascii="Arial" w:hAnsi="Arial" w:cs="Arial"/>
          <w:sz w:val="24"/>
          <w:szCs w:val="24"/>
        </w:rPr>
      </w:pPr>
      <w:r w:rsidRPr="0060335E">
        <w:rPr>
          <w:rFonts w:ascii="Arial" w:hAnsi="Arial" w:cs="Arial"/>
          <w:sz w:val="24"/>
          <w:szCs w:val="24"/>
        </w:rPr>
        <w:t xml:space="preserve">Work led by NDS on the National Disability Workforce Strategy tested an approach to identifying workforce risk or ‘watch-for’ indicators. These indicators help identify either emerging problems of workforce surplus (too many workers of a particular occupational type available given the demand) or shortage (not enough workers available </w:t>
      </w:r>
      <w:r w:rsidR="00B44C49">
        <w:rPr>
          <w:rFonts w:ascii="Arial" w:hAnsi="Arial" w:cs="Arial"/>
          <w:sz w:val="24"/>
          <w:szCs w:val="24"/>
        </w:rPr>
        <w:t>to meet</w:t>
      </w:r>
      <w:r w:rsidRPr="0060335E">
        <w:rPr>
          <w:rFonts w:ascii="Arial" w:hAnsi="Arial" w:cs="Arial"/>
          <w:sz w:val="24"/>
          <w:szCs w:val="24"/>
        </w:rPr>
        <w:t xml:space="preserve"> demand).</w:t>
      </w:r>
    </w:p>
    <w:p w14:paraId="0227B0E9" w14:textId="77777777" w:rsidR="0060335E" w:rsidRPr="0060335E" w:rsidRDefault="0060335E" w:rsidP="0060335E">
      <w:pPr>
        <w:rPr>
          <w:rFonts w:ascii="Arial" w:hAnsi="Arial" w:cs="Arial"/>
          <w:sz w:val="24"/>
          <w:szCs w:val="24"/>
        </w:rPr>
      </w:pPr>
      <w:r w:rsidRPr="0060335E">
        <w:rPr>
          <w:rFonts w:ascii="Arial" w:hAnsi="Arial" w:cs="Arial"/>
          <w:sz w:val="24"/>
          <w:szCs w:val="24"/>
        </w:rPr>
        <w:t>These were applied to the key disability occupations of ‘support worker’, ‘physiotherapist’, and ‘speech pathologist’.</w:t>
      </w:r>
      <w:r w:rsidR="00145512">
        <w:rPr>
          <w:rFonts w:ascii="Arial" w:hAnsi="Arial" w:cs="Arial"/>
          <w:sz w:val="24"/>
          <w:szCs w:val="24"/>
        </w:rPr>
        <w:t xml:space="preserve"> </w:t>
      </w:r>
      <w:r w:rsidRPr="0060335E">
        <w:rPr>
          <w:rFonts w:ascii="Arial" w:hAnsi="Arial" w:cs="Arial"/>
          <w:sz w:val="24"/>
          <w:szCs w:val="24"/>
        </w:rPr>
        <w:t>They found strong growth in some disability</w:t>
      </w:r>
      <w:r w:rsidR="00B44C49">
        <w:rPr>
          <w:rFonts w:ascii="Arial" w:hAnsi="Arial" w:cs="Arial"/>
          <w:sz w:val="24"/>
          <w:szCs w:val="24"/>
        </w:rPr>
        <w:t>-</w:t>
      </w:r>
      <w:r w:rsidRPr="0060335E">
        <w:rPr>
          <w:rFonts w:ascii="Arial" w:hAnsi="Arial" w:cs="Arial"/>
          <w:sz w:val="24"/>
          <w:szCs w:val="24"/>
        </w:rPr>
        <w:t xml:space="preserve">related occupations in recent years, with ‘support workers’ growing most rapidly. While signs of workforce shortage are appearing for physiotherapists, the occupational labour market for speech pathologists currently shows a good balance </w:t>
      </w:r>
      <w:r w:rsidR="00B44C49">
        <w:rPr>
          <w:rFonts w:ascii="Arial" w:hAnsi="Arial" w:cs="Arial"/>
          <w:sz w:val="24"/>
          <w:szCs w:val="24"/>
        </w:rPr>
        <w:t>between demand and supply. G</w:t>
      </w:r>
      <w:r w:rsidRPr="0060335E">
        <w:rPr>
          <w:rFonts w:ascii="Arial" w:hAnsi="Arial" w:cs="Arial"/>
          <w:sz w:val="24"/>
          <w:szCs w:val="24"/>
        </w:rPr>
        <w:t>rowth in these and other allied health occupations</w:t>
      </w:r>
      <w:r w:rsidR="00B44C49">
        <w:rPr>
          <w:rFonts w:ascii="Arial" w:hAnsi="Arial" w:cs="Arial"/>
          <w:sz w:val="24"/>
          <w:szCs w:val="24"/>
        </w:rPr>
        <w:t>, however,</w:t>
      </w:r>
      <w:r w:rsidRPr="0060335E">
        <w:rPr>
          <w:rFonts w:ascii="Arial" w:hAnsi="Arial" w:cs="Arial"/>
          <w:sz w:val="24"/>
          <w:szCs w:val="24"/>
        </w:rPr>
        <w:t xml:space="preserve"> is correlated with university course applications. We can expect that growth in graduate numbers will be affected by restricted university funding and increased student fees.</w:t>
      </w:r>
    </w:p>
    <w:p w14:paraId="47BA9324" w14:textId="77777777" w:rsidR="00B44C49" w:rsidRDefault="00BF348C">
      <w:pPr>
        <w:rPr>
          <w:rFonts w:ascii="Arial" w:eastAsiaTheme="minorHAnsi" w:hAnsi="Arial" w:cstheme="majorBidi"/>
          <w:b/>
          <w:bCs/>
          <w:sz w:val="26"/>
          <w:szCs w:val="26"/>
        </w:rPr>
      </w:pPr>
      <w:r>
        <w:rPr>
          <w:rFonts w:ascii="Arial" w:hAnsi="Arial" w:cs="Arial"/>
          <w:sz w:val="24"/>
          <w:szCs w:val="24"/>
        </w:rPr>
        <w:t>A</w:t>
      </w:r>
      <w:r w:rsidR="0060335E" w:rsidRPr="0060335E">
        <w:rPr>
          <w:rFonts w:ascii="Arial" w:hAnsi="Arial" w:cs="Arial"/>
          <w:sz w:val="24"/>
          <w:szCs w:val="24"/>
        </w:rPr>
        <w:t xml:space="preserve">s the NDIS is implemented, NDS intends to publish </w:t>
      </w:r>
      <w:r w:rsidR="00AF6CCE">
        <w:rPr>
          <w:rFonts w:ascii="Arial" w:hAnsi="Arial" w:cs="Arial"/>
          <w:sz w:val="24"/>
          <w:szCs w:val="24"/>
        </w:rPr>
        <w:t>information</w:t>
      </w:r>
      <w:r w:rsidR="0060335E" w:rsidRPr="0060335E">
        <w:rPr>
          <w:rFonts w:ascii="Arial" w:hAnsi="Arial" w:cs="Arial"/>
          <w:sz w:val="24"/>
          <w:szCs w:val="24"/>
        </w:rPr>
        <w:t xml:space="preserve"> to </w:t>
      </w:r>
      <w:r w:rsidR="00B44C49">
        <w:rPr>
          <w:rFonts w:ascii="Arial" w:hAnsi="Arial" w:cs="Arial"/>
          <w:sz w:val="24"/>
          <w:szCs w:val="24"/>
        </w:rPr>
        <w:t>assist</w:t>
      </w:r>
      <w:r w:rsidR="0060335E" w:rsidRPr="0060335E">
        <w:rPr>
          <w:rFonts w:ascii="Arial" w:hAnsi="Arial" w:cs="Arial"/>
          <w:sz w:val="24"/>
          <w:szCs w:val="24"/>
        </w:rPr>
        <w:t xml:space="preserve"> providers to track workforce risks and patterns.</w:t>
      </w:r>
      <w:bookmarkStart w:id="245" w:name="_Toc404089951"/>
      <w:bookmarkEnd w:id="241"/>
      <w:bookmarkEnd w:id="242"/>
      <w:bookmarkEnd w:id="243"/>
      <w:bookmarkEnd w:id="244"/>
      <w:r w:rsidR="00B44C49">
        <w:rPr>
          <w:rFonts w:eastAsiaTheme="minorHAnsi"/>
        </w:rPr>
        <w:br w:type="page"/>
      </w:r>
    </w:p>
    <w:p w14:paraId="5BABA445" w14:textId="77777777" w:rsidR="00866FE9" w:rsidRPr="00BE4BD9" w:rsidRDefault="00866FE9" w:rsidP="001F094B">
      <w:pPr>
        <w:pStyle w:val="Heading2"/>
        <w:rPr>
          <w:rFonts w:eastAsiaTheme="minorHAnsi"/>
        </w:rPr>
      </w:pPr>
      <w:r w:rsidRPr="00BE4BD9">
        <w:rPr>
          <w:rFonts w:eastAsiaTheme="minorHAnsi"/>
        </w:rPr>
        <w:lastRenderedPageBreak/>
        <w:t xml:space="preserve">Employee </w:t>
      </w:r>
      <w:r w:rsidRPr="00BE4BD9">
        <w:t>engagement</w:t>
      </w:r>
      <w:bookmarkEnd w:id="245"/>
    </w:p>
    <w:p w14:paraId="62C9D3E4" w14:textId="77777777" w:rsidR="00BE4BD9" w:rsidRPr="00BE4BD9" w:rsidRDefault="00B20839" w:rsidP="00BE4BD9">
      <w:pPr>
        <w:rPr>
          <w:rFonts w:ascii="Arial" w:hAnsi="Arial" w:cs="Arial"/>
          <w:sz w:val="24"/>
          <w:szCs w:val="24"/>
        </w:rPr>
      </w:pPr>
      <w:bookmarkStart w:id="246" w:name="_Toc403038280"/>
      <w:bookmarkStart w:id="247" w:name="_Toc403051803"/>
      <w:r w:rsidRPr="00BE4BD9">
        <w:rPr>
          <w:rFonts w:ascii="Arial" w:hAnsi="Arial" w:cs="Arial"/>
          <w:sz w:val="24"/>
          <w:szCs w:val="24"/>
        </w:rPr>
        <w:t>The NDS Employee Engagement Survey</w:t>
      </w:r>
      <w:r w:rsidR="00037D40">
        <w:rPr>
          <w:rFonts w:ascii="Arial" w:hAnsi="Arial" w:cs="Arial"/>
          <w:sz w:val="24"/>
          <w:szCs w:val="24"/>
        </w:rPr>
        <w:t xml:space="preserve"> </w:t>
      </w:r>
      <w:r w:rsidR="008E0B37">
        <w:rPr>
          <w:rFonts w:ascii="Arial" w:hAnsi="Arial" w:cs="Arial"/>
          <w:sz w:val="24"/>
          <w:szCs w:val="24"/>
        </w:rPr>
        <w:t>shows that not-for</w:t>
      </w:r>
      <w:r w:rsidR="00BE4BD9" w:rsidRPr="00BE4BD9">
        <w:rPr>
          <w:rFonts w:ascii="Arial" w:hAnsi="Arial" w:cs="Arial"/>
          <w:sz w:val="24"/>
          <w:szCs w:val="24"/>
        </w:rPr>
        <w:t>-</w:t>
      </w:r>
      <w:r w:rsidR="008E0B37">
        <w:rPr>
          <w:rFonts w:ascii="Arial" w:hAnsi="Arial" w:cs="Arial"/>
          <w:sz w:val="24"/>
          <w:szCs w:val="24"/>
        </w:rPr>
        <w:t>profit</w:t>
      </w:r>
      <w:r w:rsidR="004667B2">
        <w:rPr>
          <w:rFonts w:ascii="Arial" w:hAnsi="Arial" w:cs="Arial"/>
          <w:sz w:val="24"/>
          <w:szCs w:val="24"/>
        </w:rPr>
        <w:t xml:space="preserve"> </w:t>
      </w:r>
      <w:r w:rsidR="00BE4BD9" w:rsidRPr="00BE4BD9">
        <w:rPr>
          <w:rFonts w:ascii="Arial" w:hAnsi="Arial" w:cs="Arial"/>
          <w:sz w:val="24"/>
          <w:szCs w:val="24"/>
        </w:rPr>
        <w:t xml:space="preserve">disability service provider employees are passionate about their jobs and about working in the sector. </w:t>
      </w:r>
    </w:p>
    <w:p w14:paraId="73D2B016" w14:textId="77777777" w:rsidR="00BE4BD9" w:rsidRPr="00BE4BD9" w:rsidRDefault="00BE4BD9" w:rsidP="00BE4BD9">
      <w:pPr>
        <w:rPr>
          <w:rFonts w:ascii="Arial" w:hAnsi="Arial" w:cs="Arial"/>
          <w:sz w:val="24"/>
          <w:szCs w:val="24"/>
        </w:rPr>
      </w:pPr>
      <w:r w:rsidRPr="00BE4BD9">
        <w:rPr>
          <w:rFonts w:ascii="Arial" w:hAnsi="Arial" w:cs="Arial"/>
          <w:sz w:val="24"/>
          <w:szCs w:val="24"/>
        </w:rPr>
        <w:t>Key finding</w:t>
      </w:r>
      <w:r w:rsidR="00AF6CCE">
        <w:rPr>
          <w:rFonts w:ascii="Arial" w:hAnsi="Arial" w:cs="Arial"/>
          <w:sz w:val="24"/>
          <w:szCs w:val="24"/>
        </w:rPr>
        <w:t>s</w:t>
      </w:r>
      <w:r w:rsidRPr="00BE4BD9">
        <w:rPr>
          <w:rFonts w:ascii="Arial" w:hAnsi="Arial" w:cs="Arial"/>
          <w:sz w:val="24"/>
          <w:szCs w:val="24"/>
        </w:rPr>
        <w:t xml:space="preserve"> from the report</w:t>
      </w:r>
      <w:r w:rsidR="00037D40">
        <w:rPr>
          <w:rFonts w:ascii="Arial" w:hAnsi="Arial" w:cs="Arial"/>
          <w:sz w:val="24"/>
          <w:szCs w:val="24"/>
        </w:rPr>
        <w:t xml:space="preserve"> </w:t>
      </w:r>
      <w:r w:rsidRPr="00BE4BD9">
        <w:rPr>
          <w:rFonts w:ascii="Arial" w:hAnsi="Arial" w:cs="Arial"/>
          <w:sz w:val="24"/>
          <w:szCs w:val="24"/>
        </w:rPr>
        <w:t>were:</w:t>
      </w:r>
    </w:p>
    <w:p w14:paraId="74BA2929" w14:textId="77777777" w:rsidR="00BE4BD9" w:rsidRPr="00BE4BD9" w:rsidRDefault="008A7BB7" w:rsidP="00BE4BD9">
      <w:pPr>
        <w:pStyle w:val="ListParagraph"/>
        <w:numPr>
          <w:ilvl w:val="0"/>
          <w:numId w:val="42"/>
        </w:numPr>
        <w:rPr>
          <w:rFonts w:ascii="Arial" w:hAnsi="Arial" w:cs="Arial"/>
          <w:sz w:val="24"/>
          <w:szCs w:val="24"/>
        </w:rPr>
      </w:pPr>
      <w:r>
        <w:rPr>
          <w:rFonts w:ascii="Arial" w:hAnsi="Arial" w:cs="Arial"/>
          <w:sz w:val="24"/>
          <w:szCs w:val="24"/>
        </w:rPr>
        <w:t>s</w:t>
      </w:r>
      <w:r w:rsidR="00BE4BD9" w:rsidRPr="00BE4BD9">
        <w:rPr>
          <w:rFonts w:ascii="Arial" w:hAnsi="Arial" w:cs="Arial"/>
          <w:sz w:val="24"/>
          <w:szCs w:val="24"/>
        </w:rPr>
        <w:t xml:space="preserve">taff in the disability sector tend to be highly engaged, and are particularly satisfied with their job and the nature of the work they do </w:t>
      </w:r>
    </w:p>
    <w:p w14:paraId="24C9FCC3" w14:textId="77777777" w:rsidR="00BE4BD9" w:rsidRPr="00BE4BD9" w:rsidRDefault="008A7BB7" w:rsidP="00BE4BD9">
      <w:pPr>
        <w:pStyle w:val="ListParagraph"/>
        <w:numPr>
          <w:ilvl w:val="0"/>
          <w:numId w:val="42"/>
        </w:numPr>
        <w:rPr>
          <w:rFonts w:ascii="Arial" w:hAnsi="Arial" w:cs="Arial"/>
          <w:sz w:val="24"/>
          <w:szCs w:val="24"/>
        </w:rPr>
      </w:pPr>
      <w:r>
        <w:rPr>
          <w:rFonts w:ascii="Arial" w:hAnsi="Arial" w:cs="Arial"/>
          <w:sz w:val="24"/>
          <w:szCs w:val="24"/>
        </w:rPr>
        <w:t>s</w:t>
      </w:r>
      <w:r w:rsidR="00BE4BD9" w:rsidRPr="00BE4BD9">
        <w:rPr>
          <w:rFonts w:ascii="Arial" w:hAnsi="Arial" w:cs="Arial"/>
          <w:sz w:val="24"/>
          <w:szCs w:val="24"/>
        </w:rPr>
        <w:t>taff tend to feel that their organisation is successful in meeting its objectives and clients’ needs</w:t>
      </w:r>
    </w:p>
    <w:p w14:paraId="73F289D9" w14:textId="77777777" w:rsidR="00BE4BD9" w:rsidRPr="00BE4BD9" w:rsidRDefault="00BE4BD9" w:rsidP="00BE4BD9">
      <w:pPr>
        <w:pStyle w:val="ListParagraph"/>
        <w:numPr>
          <w:ilvl w:val="0"/>
          <w:numId w:val="42"/>
        </w:numPr>
        <w:rPr>
          <w:rFonts w:ascii="Arial" w:hAnsi="Arial" w:cs="Arial"/>
          <w:sz w:val="24"/>
          <w:szCs w:val="24"/>
        </w:rPr>
      </w:pPr>
      <w:r w:rsidRPr="00BE4BD9">
        <w:rPr>
          <w:rFonts w:ascii="Arial" w:hAnsi="Arial" w:cs="Arial"/>
          <w:sz w:val="24"/>
          <w:szCs w:val="24"/>
        </w:rPr>
        <w:t xml:space="preserve">96% of staff like the work they do – 24% higher than the all-industry average job satisfaction rate </w:t>
      </w:r>
    </w:p>
    <w:p w14:paraId="3A9F2ED6" w14:textId="77777777" w:rsidR="00BE4BD9" w:rsidRPr="00BE4BD9" w:rsidRDefault="00BE4BD9" w:rsidP="00BE4BD9">
      <w:pPr>
        <w:pStyle w:val="ListParagraph"/>
        <w:numPr>
          <w:ilvl w:val="0"/>
          <w:numId w:val="42"/>
        </w:numPr>
        <w:rPr>
          <w:rFonts w:ascii="Arial" w:hAnsi="Arial" w:cs="Arial"/>
          <w:sz w:val="24"/>
          <w:szCs w:val="24"/>
        </w:rPr>
      </w:pPr>
      <w:r w:rsidRPr="00BE4BD9">
        <w:rPr>
          <w:rFonts w:ascii="Arial" w:hAnsi="Arial" w:cs="Arial"/>
          <w:sz w:val="24"/>
          <w:szCs w:val="24"/>
        </w:rPr>
        <w:t>82% of staff in the disability sector are satisfie</w:t>
      </w:r>
      <w:r w:rsidR="004667B2">
        <w:rPr>
          <w:rFonts w:ascii="Arial" w:hAnsi="Arial" w:cs="Arial"/>
          <w:sz w:val="24"/>
          <w:szCs w:val="24"/>
        </w:rPr>
        <w:t>d with their work–life balance,</w:t>
      </w:r>
      <w:r w:rsidRPr="00BE4BD9">
        <w:rPr>
          <w:rFonts w:ascii="Arial" w:hAnsi="Arial" w:cs="Arial"/>
          <w:sz w:val="24"/>
          <w:szCs w:val="24"/>
        </w:rPr>
        <w:t xml:space="preserve"> 9% higher than the all-industry average job satisfaction rate.</w:t>
      </w:r>
    </w:p>
    <w:p w14:paraId="07D49BE4" w14:textId="77777777" w:rsidR="00BE4BD9" w:rsidRPr="00BE4BD9" w:rsidRDefault="00143028" w:rsidP="00BE4BD9">
      <w:pPr>
        <w:rPr>
          <w:rFonts w:ascii="Arial" w:hAnsi="Arial" w:cs="Arial"/>
          <w:sz w:val="24"/>
          <w:szCs w:val="24"/>
        </w:rPr>
      </w:pPr>
      <w:r>
        <w:rPr>
          <w:rFonts w:ascii="Arial" w:hAnsi="Arial" w:cs="Arial"/>
          <w:sz w:val="24"/>
          <w:szCs w:val="24"/>
        </w:rPr>
        <w:t>The pilot survey report</w:t>
      </w:r>
      <w:r w:rsidR="00A534CB">
        <w:rPr>
          <w:rFonts w:ascii="Arial" w:hAnsi="Arial" w:cs="Arial"/>
          <w:sz w:val="24"/>
          <w:szCs w:val="24"/>
        </w:rPr>
        <w:t>s</w:t>
      </w:r>
      <w:r w:rsidR="00BE4BD9" w:rsidRPr="00BE4BD9">
        <w:rPr>
          <w:rFonts w:ascii="Arial" w:hAnsi="Arial" w:cs="Arial"/>
          <w:sz w:val="24"/>
          <w:szCs w:val="24"/>
        </w:rPr>
        <w:t xml:space="preserve"> that </w:t>
      </w:r>
      <w:r w:rsidR="008E0B37">
        <w:rPr>
          <w:rFonts w:ascii="Arial" w:hAnsi="Arial" w:cs="Arial"/>
          <w:sz w:val="24"/>
          <w:szCs w:val="24"/>
        </w:rPr>
        <w:t>not-for-profit</w:t>
      </w:r>
      <w:r w:rsidR="00BE4BD9" w:rsidRPr="00BE4BD9">
        <w:rPr>
          <w:rFonts w:ascii="Arial" w:hAnsi="Arial" w:cs="Arial"/>
          <w:sz w:val="24"/>
          <w:szCs w:val="24"/>
        </w:rPr>
        <w:t xml:space="preserve"> disability services are generally fostering a high level of employee engagement and that their employees are committed to their work and actively contribute to the organisation’s performance and mission. The general satisfaction rate of the staff who participated in the NDS </w:t>
      </w:r>
      <w:r w:rsidR="004667B2">
        <w:rPr>
          <w:rFonts w:ascii="Arial" w:hAnsi="Arial" w:cs="Arial"/>
          <w:sz w:val="24"/>
          <w:szCs w:val="24"/>
        </w:rPr>
        <w:t>s</w:t>
      </w:r>
      <w:r w:rsidR="00BE4BD9" w:rsidRPr="00BE4BD9">
        <w:rPr>
          <w:rFonts w:ascii="Arial" w:hAnsi="Arial" w:cs="Arial"/>
          <w:sz w:val="24"/>
          <w:szCs w:val="24"/>
        </w:rPr>
        <w:t xml:space="preserve">urvey pilot </w:t>
      </w:r>
      <w:r>
        <w:rPr>
          <w:rFonts w:ascii="Arial" w:hAnsi="Arial" w:cs="Arial"/>
          <w:sz w:val="24"/>
          <w:szCs w:val="24"/>
        </w:rPr>
        <w:t xml:space="preserve">in NSW </w:t>
      </w:r>
      <w:r w:rsidR="00A534CB">
        <w:rPr>
          <w:rFonts w:ascii="Arial" w:hAnsi="Arial" w:cs="Arial"/>
          <w:sz w:val="24"/>
          <w:szCs w:val="24"/>
        </w:rPr>
        <w:t>is</w:t>
      </w:r>
      <w:r w:rsidR="00BE4BD9" w:rsidRPr="00BE4BD9">
        <w:rPr>
          <w:rFonts w:ascii="Arial" w:hAnsi="Arial" w:cs="Arial"/>
          <w:sz w:val="24"/>
          <w:szCs w:val="24"/>
        </w:rPr>
        <w:t xml:space="preserve"> 14 percentage points above all-industry benchmark results.</w:t>
      </w:r>
    </w:p>
    <w:p w14:paraId="026D2CA2" w14:textId="77777777" w:rsidR="00866FE9" w:rsidRPr="00AB4D29" w:rsidRDefault="00866FE9" w:rsidP="001F094B">
      <w:pPr>
        <w:pStyle w:val="Heading2"/>
        <w:rPr>
          <w:rFonts w:eastAsiaTheme="minorHAnsi"/>
        </w:rPr>
      </w:pPr>
      <w:bookmarkStart w:id="248" w:name="_Toc404089952"/>
      <w:r w:rsidRPr="00AB4D29">
        <w:rPr>
          <w:rFonts w:eastAsiaTheme="minorHAnsi"/>
        </w:rPr>
        <w:t>Work health and safety</w:t>
      </w:r>
      <w:bookmarkEnd w:id="246"/>
      <w:bookmarkEnd w:id="247"/>
      <w:bookmarkEnd w:id="248"/>
      <w:r w:rsidRPr="00AB4D29">
        <w:rPr>
          <w:rFonts w:eastAsiaTheme="minorHAnsi"/>
        </w:rPr>
        <w:t xml:space="preserve"> </w:t>
      </w:r>
    </w:p>
    <w:p w14:paraId="3155FC2C" w14:textId="77777777" w:rsidR="00866FE9" w:rsidRPr="00AB4D29" w:rsidRDefault="00866FE9" w:rsidP="004E7B04">
      <w:pPr>
        <w:rPr>
          <w:rFonts w:ascii="Arial" w:hAnsi="Arial" w:cs="Arial"/>
          <w:sz w:val="24"/>
          <w:szCs w:val="24"/>
        </w:rPr>
      </w:pPr>
      <w:r w:rsidRPr="00AB4D29">
        <w:rPr>
          <w:rFonts w:ascii="Arial" w:hAnsi="Arial" w:cs="Arial"/>
          <w:sz w:val="24"/>
          <w:szCs w:val="24"/>
        </w:rPr>
        <w:t xml:space="preserve">Workers compensation is a significant cost for the disability sector. This cost varies from state to state, but usually depends on the number of employees and resulting payroll level, industry coding (due to the risk rate applied) and claims history. </w:t>
      </w:r>
    </w:p>
    <w:p w14:paraId="4AB7FC1A" w14:textId="77777777" w:rsidR="00611F24" w:rsidRPr="00AB4D29" w:rsidRDefault="00866FE9">
      <w:pPr>
        <w:rPr>
          <w:rFonts w:ascii="Arial" w:hAnsi="Arial" w:cs="Arial"/>
          <w:sz w:val="24"/>
          <w:szCs w:val="24"/>
        </w:rPr>
      </w:pPr>
      <w:r w:rsidRPr="00AB4D29">
        <w:rPr>
          <w:rFonts w:ascii="Arial" w:hAnsi="Arial" w:cs="Arial"/>
          <w:sz w:val="24"/>
          <w:szCs w:val="24"/>
        </w:rPr>
        <w:t>A snapshot of some of these costs has been provided by Safe Work Australia for serious workers compensation claims nationally, related to tw</w:t>
      </w:r>
      <w:r w:rsidR="00611F24" w:rsidRPr="00AB4D29">
        <w:rPr>
          <w:rFonts w:ascii="Arial" w:hAnsi="Arial" w:cs="Arial"/>
          <w:sz w:val="24"/>
          <w:szCs w:val="24"/>
        </w:rPr>
        <w:t>o key industry classifications</w:t>
      </w:r>
      <w:r w:rsidR="002F198A">
        <w:rPr>
          <w:rFonts w:ascii="Arial" w:hAnsi="Arial" w:cs="Arial"/>
          <w:sz w:val="24"/>
          <w:szCs w:val="24"/>
        </w:rPr>
        <w:t xml:space="preserve"> (Figure 1</w:t>
      </w:r>
      <w:r w:rsidR="004733A4">
        <w:rPr>
          <w:rFonts w:ascii="Arial" w:hAnsi="Arial" w:cs="Arial"/>
          <w:sz w:val="24"/>
          <w:szCs w:val="24"/>
        </w:rPr>
        <w:t>2</w:t>
      </w:r>
      <w:r w:rsidR="002F198A">
        <w:rPr>
          <w:rFonts w:ascii="Arial" w:hAnsi="Arial" w:cs="Arial"/>
          <w:sz w:val="24"/>
          <w:szCs w:val="24"/>
        </w:rPr>
        <w:t>)</w:t>
      </w:r>
      <w:r w:rsidR="00611F24" w:rsidRPr="00AB4D29">
        <w:rPr>
          <w:rFonts w:ascii="Arial" w:hAnsi="Arial" w:cs="Arial"/>
          <w:sz w:val="24"/>
          <w:szCs w:val="24"/>
        </w:rPr>
        <w:t>.</w:t>
      </w:r>
    </w:p>
    <w:p w14:paraId="0F4F534E" w14:textId="77777777" w:rsidR="004667B2" w:rsidRDefault="004667B2">
      <w:pPr>
        <w:rPr>
          <w:rFonts w:ascii="Arial" w:eastAsiaTheme="majorEastAsia" w:hAnsi="Arial" w:cs="Arial"/>
          <w:iCs/>
          <w:spacing w:val="13"/>
          <w:sz w:val="24"/>
          <w:szCs w:val="24"/>
        </w:rPr>
      </w:pPr>
      <w:r>
        <w:rPr>
          <w:rFonts w:ascii="Arial" w:hAnsi="Arial" w:cs="Arial"/>
          <w:i/>
        </w:rPr>
        <w:br w:type="page"/>
      </w:r>
    </w:p>
    <w:p w14:paraId="713B935A" w14:textId="77777777" w:rsidR="00866FE9" w:rsidRPr="00611F24" w:rsidRDefault="00E54DA4" w:rsidP="00447F2C">
      <w:pPr>
        <w:pStyle w:val="Subtitle"/>
      </w:pPr>
      <w:r>
        <w:lastRenderedPageBreak/>
        <w:t xml:space="preserve">Figure </w:t>
      </w:r>
      <w:r w:rsidR="00B61CA0">
        <w:t>1</w:t>
      </w:r>
      <w:r w:rsidR="004733A4">
        <w:t>2</w:t>
      </w:r>
      <w:r w:rsidR="00866FE9" w:rsidRPr="00611F24">
        <w:t xml:space="preserve">: </w:t>
      </w:r>
      <w:r w:rsidR="00866FE9" w:rsidRPr="00611F24">
        <w:rPr>
          <w:lang w:eastAsia="en-AU"/>
        </w:rPr>
        <w:t>national accepted workers compensation claims - serious claims for residential &amp; non-residential care services by year of lodgement</w:t>
      </w:r>
    </w:p>
    <w:p w14:paraId="1590D07E" w14:textId="77777777" w:rsidR="00866FE9" w:rsidRDefault="00866FE9" w:rsidP="004E7B04">
      <w:pPr>
        <w:rPr>
          <w:rFonts w:ascii="Arial" w:hAnsi="Arial" w:cs="Arial"/>
        </w:rPr>
      </w:pPr>
      <w:r w:rsidRPr="00133CFB">
        <w:rPr>
          <w:rFonts w:ascii="Arial" w:hAnsi="Arial" w:cs="Arial"/>
          <w:noProof/>
          <w:lang w:eastAsia="en-AU"/>
        </w:rPr>
        <w:drawing>
          <wp:inline distT="0" distB="0" distL="0" distR="0" wp14:anchorId="3D69CF41" wp14:editId="1F40BDB8">
            <wp:extent cx="4569702" cy="2971800"/>
            <wp:effectExtent l="19050" t="19050" r="21590" b="19050"/>
            <wp:docPr id="10" name="Picture 10" descr="Please also see accessible table directly below figure.&#10;The chart depicts serious claims and their costs over time, broken down by residential or non-residential status.&#10;The number of non-residential serious claims made each year grew from 2000-01 to 2009-10, but has since begun to decline. The cost of these non-residential serious claims follows the same trend, peaking in 2009-10.&#10;The number of residential serious claims each year was relatively stable until 2006-07, after which it began to increase. Costs for these residential claims followed this trend until 2008-09, when it began to decline." title="Figure 12: national accepted workers compensation claims - serious claims for residential &amp; non-residential care services by year of lod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1143" cy="2972737"/>
                    </a:xfrm>
                    <a:prstGeom prst="rect">
                      <a:avLst/>
                    </a:prstGeom>
                    <a:noFill/>
                    <a:ln w="12700">
                      <a:solidFill>
                        <a:schemeClr val="tx1"/>
                      </a:solidFill>
                    </a:ln>
                  </pic:spPr>
                </pic:pic>
              </a:graphicData>
            </a:graphic>
          </wp:inline>
        </w:drawing>
      </w:r>
    </w:p>
    <w:p w14:paraId="6F9B41B8" w14:textId="77777777" w:rsidR="00C912A7" w:rsidRPr="00133CFB" w:rsidRDefault="00C912A7" w:rsidP="00C912A7">
      <w:pPr>
        <w:pStyle w:val="Subtitle"/>
      </w:pPr>
      <w:r>
        <w:t>Figure 12</w:t>
      </w:r>
      <w:r w:rsidRPr="00611F24">
        <w:t xml:space="preserve">: </w:t>
      </w:r>
      <w:r w:rsidRPr="00611F24">
        <w:rPr>
          <w:lang w:eastAsia="en-AU"/>
        </w:rPr>
        <w:t>national accepted workers compensation claims - serious claims for residential &amp; non-residential care services by year of lodgement</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2101"/>
        <w:gridCol w:w="1441"/>
        <w:gridCol w:w="1437"/>
        <w:gridCol w:w="1416"/>
      </w:tblGrid>
      <w:tr w:rsidR="00BB718B" w:rsidRPr="002331CD" w14:paraId="3A8C94EE" w14:textId="77777777" w:rsidTr="00C912A7">
        <w:trPr>
          <w:trHeight w:val="1164"/>
          <w:tblHeader/>
        </w:trPr>
        <w:tc>
          <w:tcPr>
            <w:tcW w:w="1627" w:type="pct"/>
            <w:shd w:val="clear" w:color="auto" w:fill="auto"/>
            <w:noWrap/>
            <w:vAlign w:val="center"/>
            <w:hideMark/>
          </w:tcPr>
          <w:p w14:paraId="323528C7" w14:textId="77777777" w:rsidR="00BB718B" w:rsidRPr="00CD7FE8" w:rsidRDefault="00BB718B" w:rsidP="00C912A7">
            <w:pPr>
              <w:spacing w:after="0" w:line="240" w:lineRule="auto"/>
              <w:rPr>
                <w:rFonts w:ascii="Arial" w:eastAsia="Times New Roman" w:hAnsi="Arial" w:cs="Arial"/>
                <w:color w:val="000000"/>
                <w:sz w:val="24"/>
                <w:szCs w:val="24"/>
                <w:lang w:eastAsia="en-AU"/>
              </w:rPr>
            </w:pPr>
            <w:bookmarkStart w:id="249" w:name="Title_8"/>
            <w:bookmarkEnd w:id="249"/>
            <w:r w:rsidRPr="00CD7FE8">
              <w:rPr>
                <w:rFonts w:ascii="Arial" w:eastAsia="Times New Roman" w:hAnsi="Arial" w:cs="Arial"/>
                <w:color w:val="000000"/>
                <w:sz w:val="24"/>
                <w:szCs w:val="24"/>
                <w:lang w:eastAsia="en-AU"/>
              </w:rPr>
              <w:t>Year of lodgement</w:t>
            </w:r>
          </w:p>
        </w:tc>
        <w:tc>
          <w:tcPr>
            <w:tcW w:w="1108" w:type="pct"/>
            <w:shd w:val="clear" w:color="auto" w:fill="auto"/>
            <w:vAlign w:val="center"/>
            <w:hideMark/>
          </w:tcPr>
          <w:p w14:paraId="3C6A3ABA"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Non-residential serious claims</w:t>
            </w:r>
          </w:p>
        </w:tc>
        <w:tc>
          <w:tcPr>
            <w:tcW w:w="760" w:type="pct"/>
            <w:shd w:val="clear" w:color="auto" w:fill="auto"/>
            <w:vAlign w:val="center"/>
            <w:hideMark/>
          </w:tcPr>
          <w:p w14:paraId="525BC2A4"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Residential serious claims</w:t>
            </w:r>
          </w:p>
        </w:tc>
        <w:tc>
          <w:tcPr>
            <w:tcW w:w="758" w:type="pct"/>
            <w:shd w:val="clear" w:color="auto" w:fill="auto"/>
            <w:vAlign w:val="center"/>
            <w:hideMark/>
          </w:tcPr>
          <w:p w14:paraId="2546FBF3"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Non-residential cost ($m)</w:t>
            </w:r>
          </w:p>
        </w:tc>
        <w:tc>
          <w:tcPr>
            <w:tcW w:w="747" w:type="pct"/>
            <w:shd w:val="clear" w:color="auto" w:fill="auto"/>
            <w:vAlign w:val="center"/>
            <w:hideMark/>
          </w:tcPr>
          <w:p w14:paraId="2F3C621C"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Residential costs ($m)</w:t>
            </w:r>
          </w:p>
        </w:tc>
      </w:tr>
      <w:tr w:rsidR="00BB718B" w:rsidRPr="002331CD" w14:paraId="2F858B53" w14:textId="77777777" w:rsidTr="00C912A7">
        <w:trPr>
          <w:trHeight w:val="300"/>
          <w:tblHeader/>
        </w:trPr>
        <w:tc>
          <w:tcPr>
            <w:tcW w:w="1627" w:type="pct"/>
            <w:shd w:val="clear" w:color="auto" w:fill="auto"/>
            <w:noWrap/>
            <w:vAlign w:val="center"/>
            <w:hideMark/>
          </w:tcPr>
          <w:p w14:paraId="3E3A3040"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2000-01</w:t>
            </w:r>
          </w:p>
        </w:tc>
        <w:tc>
          <w:tcPr>
            <w:tcW w:w="1108" w:type="pct"/>
            <w:shd w:val="clear" w:color="auto" w:fill="auto"/>
            <w:noWrap/>
            <w:vAlign w:val="center"/>
            <w:hideMark/>
          </w:tcPr>
          <w:p w14:paraId="5959CD28"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1265</w:t>
            </w:r>
          </w:p>
        </w:tc>
        <w:tc>
          <w:tcPr>
            <w:tcW w:w="760" w:type="pct"/>
            <w:shd w:val="clear" w:color="auto" w:fill="auto"/>
            <w:noWrap/>
            <w:vAlign w:val="center"/>
            <w:hideMark/>
          </w:tcPr>
          <w:p w14:paraId="6520636D"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825</w:t>
            </w:r>
          </w:p>
        </w:tc>
        <w:tc>
          <w:tcPr>
            <w:tcW w:w="758" w:type="pct"/>
            <w:shd w:val="clear" w:color="auto" w:fill="auto"/>
            <w:noWrap/>
            <w:vAlign w:val="center"/>
            <w:hideMark/>
          </w:tcPr>
          <w:p w14:paraId="26933C05"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36.5</w:t>
            </w:r>
          </w:p>
        </w:tc>
        <w:tc>
          <w:tcPr>
            <w:tcW w:w="747" w:type="pct"/>
            <w:shd w:val="clear" w:color="auto" w:fill="auto"/>
            <w:noWrap/>
            <w:vAlign w:val="center"/>
            <w:hideMark/>
          </w:tcPr>
          <w:p w14:paraId="7972431C"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22.8</w:t>
            </w:r>
          </w:p>
        </w:tc>
      </w:tr>
      <w:tr w:rsidR="00BB718B" w:rsidRPr="002331CD" w14:paraId="76DD398A" w14:textId="77777777" w:rsidTr="00C912A7">
        <w:trPr>
          <w:trHeight w:val="300"/>
          <w:tblHeader/>
        </w:trPr>
        <w:tc>
          <w:tcPr>
            <w:tcW w:w="1627" w:type="pct"/>
            <w:shd w:val="clear" w:color="auto" w:fill="auto"/>
            <w:noWrap/>
            <w:vAlign w:val="center"/>
            <w:hideMark/>
          </w:tcPr>
          <w:p w14:paraId="313EB643"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2001-02</w:t>
            </w:r>
          </w:p>
        </w:tc>
        <w:tc>
          <w:tcPr>
            <w:tcW w:w="1108" w:type="pct"/>
            <w:shd w:val="clear" w:color="auto" w:fill="auto"/>
            <w:noWrap/>
            <w:vAlign w:val="center"/>
            <w:hideMark/>
          </w:tcPr>
          <w:p w14:paraId="4DE2EA47"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1435</w:t>
            </w:r>
          </w:p>
        </w:tc>
        <w:tc>
          <w:tcPr>
            <w:tcW w:w="760" w:type="pct"/>
            <w:shd w:val="clear" w:color="auto" w:fill="auto"/>
            <w:noWrap/>
            <w:vAlign w:val="center"/>
            <w:hideMark/>
          </w:tcPr>
          <w:p w14:paraId="154279A4"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805</w:t>
            </w:r>
          </w:p>
        </w:tc>
        <w:tc>
          <w:tcPr>
            <w:tcW w:w="758" w:type="pct"/>
            <w:shd w:val="clear" w:color="auto" w:fill="auto"/>
            <w:noWrap/>
            <w:vAlign w:val="center"/>
            <w:hideMark/>
          </w:tcPr>
          <w:p w14:paraId="324145DF"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33.4</w:t>
            </w:r>
          </w:p>
        </w:tc>
        <w:tc>
          <w:tcPr>
            <w:tcW w:w="747" w:type="pct"/>
            <w:shd w:val="clear" w:color="auto" w:fill="auto"/>
            <w:noWrap/>
            <w:vAlign w:val="center"/>
            <w:hideMark/>
          </w:tcPr>
          <w:p w14:paraId="0D2245D2"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23.7</w:t>
            </w:r>
          </w:p>
        </w:tc>
      </w:tr>
      <w:tr w:rsidR="00BB718B" w:rsidRPr="002331CD" w14:paraId="24C5C81E" w14:textId="77777777" w:rsidTr="00C912A7">
        <w:trPr>
          <w:trHeight w:val="300"/>
          <w:tblHeader/>
        </w:trPr>
        <w:tc>
          <w:tcPr>
            <w:tcW w:w="1627" w:type="pct"/>
            <w:shd w:val="clear" w:color="auto" w:fill="auto"/>
            <w:noWrap/>
            <w:vAlign w:val="center"/>
            <w:hideMark/>
          </w:tcPr>
          <w:p w14:paraId="1FF56270"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2002-03</w:t>
            </w:r>
          </w:p>
        </w:tc>
        <w:tc>
          <w:tcPr>
            <w:tcW w:w="1108" w:type="pct"/>
            <w:shd w:val="clear" w:color="auto" w:fill="auto"/>
            <w:noWrap/>
            <w:vAlign w:val="center"/>
            <w:hideMark/>
          </w:tcPr>
          <w:p w14:paraId="23CE2D8B"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1450</w:t>
            </w:r>
          </w:p>
        </w:tc>
        <w:tc>
          <w:tcPr>
            <w:tcW w:w="760" w:type="pct"/>
            <w:shd w:val="clear" w:color="auto" w:fill="auto"/>
            <w:noWrap/>
            <w:vAlign w:val="center"/>
            <w:hideMark/>
          </w:tcPr>
          <w:p w14:paraId="37B5F295"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805</w:t>
            </w:r>
          </w:p>
        </w:tc>
        <w:tc>
          <w:tcPr>
            <w:tcW w:w="758" w:type="pct"/>
            <w:shd w:val="clear" w:color="auto" w:fill="auto"/>
            <w:noWrap/>
            <w:vAlign w:val="center"/>
            <w:hideMark/>
          </w:tcPr>
          <w:p w14:paraId="5A2803BC"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36.3</w:t>
            </w:r>
          </w:p>
        </w:tc>
        <w:tc>
          <w:tcPr>
            <w:tcW w:w="747" w:type="pct"/>
            <w:shd w:val="clear" w:color="auto" w:fill="auto"/>
            <w:noWrap/>
            <w:vAlign w:val="center"/>
            <w:hideMark/>
          </w:tcPr>
          <w:p w14:paraId="4C2439AF"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18.4</w:t>
            </w:r>
          </w:p>
        </w:tc>
      </w:tr>
      <w:tr w:rsidR="00BB718B" w:rsidRPr="002331CD" w14:paraId="20B8B9FB" w14:textId="77777777" w:rsidTr="00C912A7">
        <w:trPr>
          <w:trHeight w:val="300"/>
          <w:tblHeader/>
        </w:trPr>
        <w:tc>
          <w:tcPr>
            <w:tcW w:w="1627" w:type="pct"/>
            <w:shd w:val="clear" w:color="auto" w:fill="auto"/>
            <w:noWrap/>
            <w:vAlign w:val="center"/>
            <w:hideMark/>
          </w:tcPr>
          <w:p w14:paraId="529ADCB2"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2003-04</w:t>
            </w:r>
          </w:p>
        </w:tc>
        <w:tc>
          <w:tcPr>
            <w:tcW w:w="1108" w:type="pct"/>
            <w:shd w:val="clear" w:color="auto" w:fill="auto"/>
            <w:noWrap/>
            <w:vAlign w:val="center"/>
            <w:hideMark/>
          </w:tcPr>
          <w:p w14:paraId="1A11828A"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1530</w:t>
            </w:r>
          </w:p>
        </w:tc>
        <w:tc>
          <w:tcPr>
            <w:tcW w:w="760" w:type="pct"/>
            <w:shd w:val="clear" w:color="auto" w:fill="auto"/>
            <w:noWrap/>
            <w:vAlign w:val="center"/>
            <w:hideMark/>
          </w:tcPr>
          <w:p w14:paraId="2CC9B4DC"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700</w:t>
            </w:r>
          </w:p>
        </w:tc>
        <w:tc>
          <w:tcPr>
            <w:tcW w:w="758" w:type="pct"/>
            <w:shd w:val="clear" w:color="auto" w:fill="auto"/>
            <w:noWrap/>
            <w:vAlign w:val="center"/>
            <w:hideMark/>
          </w:tcPr>
          <w:p w14:paraId="512C35C3"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33.3</w:t>
            </w:r>
          </w:p>
        </w:tc>
        <w:tc>
          <w:tcPr>
            <w:tcW w:w="747" w:type="pct"/>
            <w:shd w:val="clear" w:color="auto" w:fill="auto"/>
            <w:noWrap/>
            <w:vAlign w:val="center"/>
            <w:hideMark/>
          </w:tcPr>
          <w:p w14:paraId="28174B83"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14.4</w:t>
            </w:r>
          </w:p>
        </w:tc>
      </w:tr>
      <w:tr w:rsidR="00BB718B" w:rsidRPr="002331CD" w14:paraId="16001C10" w14:textId="77777777" w:rsidTr="00C912A7">
        <w:trPr>
          <w:trHeight w:val="300"/>
          <w:tblHeader/>
        </w:trPr>
        <w:tc>
          <w:tcPr>
            <w:tcW w:w="1627" w:type="pct"/>
            <w:shd w:val="clear" w:color="auto" w:fill="auto"/>
            <w:noWrap/>
            <w:vAlign w:val="center"/>
            <w:hideMark/>
          </w:tcPr>
          <w:p w14:paraId="69C3A068"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2004-05</w:t>
            </w:r>
          </w:p>
        </w:tc>
        <w:tc>
          <w:tcPr>
            <w:tcW w:w="1108" w:type="pct"/>
            <w:shd w:val="clear" w:color="auto" w:fill="auto"/>
            <w:noWrap/>
            <w:vAlign w:val="center"/>
            <w:hideMark/>
          </w:tcPr>
          <w:p w14:paraId="10EDA7E6"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1535</w:t>
            </w:r>
          </w:p>
        </w:tc>
        <w:tc>
          <w:tcPr>
            <w:tcW w:w="760" w:type="pct"/>
            <w:shd w:val="clear" w:color="auto" w:fill="auto"/>
            <w:noWrap/>
            <w:vAlign w:val="center"/>
            <w:hideMark/>
          </w:tcPr>
          <w:p w14:paraId="084EEE89"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835</w:t>
            </w:r>
          </w:p>
        </w:tc>
        <w:tc>
          <w:tcPr>
            <w:tcW w:w="758" w:type="pct"/>
            <w:shd w:val="clear" w:color="auto" w:fill="auto"/>
            <w:noWrap/>
            <w:vAlign w:val="center"/>
            <w:hideMark/>
          </w:tcPr>
          <w:p w14:paraId="5721B84A"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33</w:t>
            </w:r>
          </w:p>
        </w:tc>
        <w:tc>
          <w:tcPr>
            <w:tcW w:w="747" w:type="pct"/>
            <w:shd w:val="clear" w:color="auto" w:fill="auto"/>
            <w:noWrap/>
            <w:vAlign w:val="center"/>
            <w:hideMark/>
          </w:tcPr>
          <w:p w14:paraId="43A7C367"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19.3</w:t>
            </w:r>
          </w:p>
        </w:tc>
      </w:tr>
      <w:tr w:rsidR="00BB718B" w:rsidRPr="002331CD" w14:paraId="59CBC60A" w14:textId="77777777" w:rsidTr="00C912A7">
        <w:trPr>
          <w:trHeight w:val="300"/>
          <w:tblHeader/>
        </w:trPr>
        <w:tc>
          <w:tcPr>
            <w:tcW w:w="1627" w:type="pct"/>
            <w:shd w:val="clear" w:color="auto" w:fill="auto"/>
            <w:noWrap/>
            <w:vAlign w:val="center"/>
            <w:hideMark/>
          </w:tcPr>
          <w:p w14:paraId="1D415CE5"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2005-06</w:t>
            </w:r>
          </w:p>
        </w:tc>
        <w:tc>
          <w:tcPr>
            <w:tcW w:w="1108" w:type="pct"/>
            <w:shd w:val="clear" w:color="auto" w:fill="auto"/>
            <w:noWrap/>
            <w:vAlign w:val="center"/>
            <w:hideMark/>
          </w:tcPr>
          <w:p w14:paraId="6F9570D0"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1630</w:t>
            </w:r>
          </w:p>
        </w:tc>
        <w:tc>
          <w:tcPr>
            <w:tcW w:w="760" w:type="pct"/>
            <w:shd w:val="clear" w:color="auto" w:fill="auto"/>
            <w:noWrap/>
            <w:vAlign w:val="center"/>
            <w:hideMark/>
          </w:tcPr>
          <w:p w14:paraId="5315E189"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750</w:t>
            </w:r>
          </w:p>
        </w:tc>
        <w:tc>
          <w:tcPr>
            <w:tcW w:w="758" w:type="pct"/>
            <w:shd w:val="clear" w:color="auto" w:fill="auto"/>
            <w:noWrap/>
            <w:vAlign w:val="center"/>
            <w:hideMark/>
          </w:tcPr>
          <w:p w14:paraId="097A15EC"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35.7</w:t>
            </w:r>
          </w:p>
        </w:tc>
        <w:tc>
          <w:tcPr>
            <w:tcW w:w="747" w:type="pct"/>
            <w:shd w:val="clear" w:color="auto" w:fill="auto"/>
            <w:noWrap/>
            <w:vAlign w:val="center"/>
            <w:hideMark/>
          </w:tcPr>
          <w:p w14:paraId="2BA7A759"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20.3</w:t>
            </w:r>
          </w:p>
        </w:tc>
      </w:tr>
      <w:tr w:rsidR="00BB718B" w:rsidRPr="002331CD" w14:paraId="6F2193ED" w14:textId="77777777" w:rsidTr="00C912A7">
        <w:trPr>
          <w:trHeight w:val="300"/>
          <w:tblHeader/>
        </w:trPr>
        <w:tc>
          <w:tcPr>
            <w:tcW w:w="1627" w:type="pct"/>
            <w:shd w:val="clear" w:color="auto" w:fill="auto"/>
            <w:noWrap/>
            <w:vAlign w:val="center"/>
            <w:hideMark/>
          </w:tcPr>
          <w:p w14:paraId="79795D1F"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2006-07</w:t>
            </w:r>
          </w:p>
        </w:tc>
        <w:tc>
          <w:tcPr>
            <w:tcW w:w="1108" w:type="pct"/>
            <w:shd w:val="clear" w:color="auto" w:fill="auto"/>
            <w:noWrap/>
            <w:vAlign w:val="center"/>
            <w:hideMark/>
          </w:tcPr>
          <w:p w14:paraId="3FF67941"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1770</w:t>
            </w:r>
          </w:p>
        </w:tc>
        <w:tc>
          <w:tcPr>
            <w:tcW w:w="760" w:type="pct"/>
            <w:shd w:val="clear" w:color="auto" w:fill="auto"/>
            <w:noWrap/>
            <w:vAlign w:val="center"/>
            <w:hideMark/>
          </w:tcPr>
          <w:p w14:paraId="6D968A5A"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755</w:t>
            </w:r>
          </w:p>
        </w:tc>
        <w:tc>
          <w:tcPr>
            <w:tcW w:w="758" w:type="pct"/>
            <w:shd w:val="clear" w:color="auto" w:fill="auto"/>
            <w:noWrap/>
            <w:vAlign w:val="center"/>
            <w:hideMark/>
          </w:tcPr>
          <w:p w14:paraId="4346936F"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44</w:t>
            </w:r>
          </w:p>
        </w:tc>
        <w:tc>
          <w:tcPr>
            <w:tcW w:w="747" w:type="pct"/>
            <w:shd w:val="clear" w:color="auto" w:fill="auto"/>
            <w:noWrap/>
            <w:vAlign w:val="center"/>
            <w:hideMark/>
          </w:tcPr>
          <w:p w14:paraId="0592E32B"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20.8</w:t>
            </w:r>
          </w:p>
        </w:tc>
      </w:tr>
      <w:tr w:rsidR="00BB718B" w:rsidRPr="002331CD" w14:paraId="7C03ED6B" w14:textId="77777777" w:rsidTr="00C912A7">
        <w:trPr>
          <w:trHeight w:val="300"/>
          <w:tblHeader/>
        </w:trPr>
        <w:tc>
          <w:tcPr>
            <w:tcW w:w="1627" w:type="pct"/>
            <w:shd w:val="clear" w:color="auto" w:fill="auto"/>
            <w:noWrap/>
            <w:vAlign w:val="center"/>
            <w:hideMark/>
          </w:tcPr>
          <w:p w14:paraId="7634EAD9"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2007-08</w:t>
            </w:r>
          </w:p>
        </w:tc>
        <w:tc>
          <w:tcPr>
            <w:tcW w:w="1108" w:type="pct"/>
            <w:shd w:val="clear" w:color="auto" w:fill="auto"/>
            <w:noWrap/>
            <w:vAlign w:val="center"/>
            <w:hideMark/>
          </w:tcPr>
          <w:p w14:paraId="67227B7E"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1855</w:t>
            </w:r>
          </w:p>
        </w:tc>
        <w:tc>
          <w:tcPr>
            <w:tcW w:w="760" w:type="pct"/>
            <w:shd w:val="clear" w:color="auto" w:fill="auto"/>
            <w:noWrap/>
            <w:vAlign w:val="center"/>
            <w:hideMark/>
          </w:tcPr>
          <w:p w14:paraId="30E889EF"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935</w:t>
            </w:r>
          </w:p>
        </w:tc>
        <w:tc>
          <w:tcPr>
            <w:tcW w:w="758" w:type="pct"/>
            <w:shd w:val="clear" w:color="auto" w:fill="auto"/>
            <w:noWrap/>
            <w:vAlign w:val="center"/>
            <w:hideMark/>
          </w:tcPr>
          <w:p w14:paraId="640064A6"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41.7</w:t>
            </w:r>
          </w:p>
        </w:tc>
        <w:tc>
          <w:tcPr>
            <w:tcW w:w="747" w:type="pct"/>
            <w:shd w:val="clear" w:color="auto" w:fill="auto"/>
            <w:noWrap/>
            <w:vAlign w:val="center"/>
            <w:hideMark/>
          </w:tcPr>
          <w:p w14:paraId="7E221170"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25.2</w:t>
            </w:r>
          </w:p>
        </w:tc>
      </w:tr>
      <w:tr w:rsidR="00BB718B" w:rsidRPr="002331CD" w14:paraId="32B7D73E" w14:textId="77777777" w:rsidTr="00C912A7">
        <w:trPr>
          <w:trHeight w:val="300"/>
          <w:tblHeader/>
        </w:trPr>
        <w:tc>
          <w:tcPr>
            <w:tcW w:w="1627" w:type="pct"/>
            <w:shd w:val="clear" w:color="auto" w:fill="auto"/>
            <w:noWrap/>
            <w:vAlign w:val="center"/>
            <w:hideMark/>
          </w:tcPr>
          <w:p w14:paraId="3DB82C44"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2008-09</w:t>
            </w:r>
          </w:p>
        </w:tc>
        <w:tc>
          <w:tcPr>
            <w:tcW w:w="1108" w:type="pct"/>
            <w:shd w:val="clear" w:color="auto" w:fill="auto"/>
            <w:noWrap/>
            <w:vAlign w:val="center"/>
            <w:hideMark/>
          </w:tcPr>
          <w:p w14:paraId="5D86F30F"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2055</w:t>
            </w:r>
          </w:p>
        </w:tc>
        <w:tc>
          <w:tcPr>
            <w:tcW w:w="760" w:type="pct"/>
            <w:shd w:val="clear" w:color="auto" w:fill="auto"/>
            <w:noWrap/>
            <w:vAlign w:val="center"/>
            <w:hideMark/>
          </w:tcPr>
          <w:p w14:paraId="1D2775CC"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1010</w:t>
            </w:r>
          </w:p>
        </w:tc>
        <w:tc>
          <w:tcPr>
            <w:tcW w:w="758" w:type="pct"/>
            <w:shd w:val="clear" w:color="auto" w:fill="auto"/>
            <w:noWrap/>
            <w:vAlign w:val="center"/>
            <w:hideMark/>
          </w:tcPr>
          <w:p w14:paraId="0DDEC371"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51.5</w:t>
            </w:r>
          </w:p>
        </w:tc>
        <w:tc>
          <w:tcPr>
            <w:tcW w:w="747" w:type="pct"/>
            <w:shd w:val="clear" w:color="auto" w:fill="auto"/>
            <w:noWrap/>
            <w:vAlign w:val="center"/>
            <w:hideMark/>
          </w:tcPr>
          <w:p w14:paraId="35FC7F99"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26.7</w:t>
            </w:r>
          </w:p>
        </w:tc>
      </w:tr>
      <w:tr w:rsidR="00BB718B" w:rsidRPr="002331CD" w14:paraId="539F651F" w14:textId="77777777" w:rsidTr="00C912A7">
        <w:trPr>
          <w:trHeight w:val="300"/>
          <w:tblHeader/>
        </w:trPr>
        <w:tc>
          <w:tcPr>
            <w:tcW w:w="1627" w:type="pct"/>
            <w:shd w:val="clear" w:color="auto" w:fill="auto"/>
            <w:noWrap/>
            <w:vAlign w:val="center"/>
            <w:hideMark/>
          </w:tcPr>
          <w:p w14:paraId="51C92403"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2009-10</w:t>
            </w:r>
          </w:p>
        </w:tc>
        <w:tc>
          <w:tcPr>
            <w:tcW w:w="1108" w:type="pct"/>
            <w:shd w:val="clear" w:color="auto" w:fill="auto"/>
            <w:noWrap/>
            <w:vAlign w:val="center"/>
            <w:hideMark/>
          </w:tcPr>
          <w:p w14:paraId="2C7773AA"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2250</w:t>
            </w:r>
          </w:p>
        </w:tc>
        <w:tc>
          <w:tcPr>
            <w:tcW w:w="760" w:type="pct"/>
            <w:shd w:val="clear" w:color="auto" w:fill="auto"/>
            <w:noWrap/>
            <w:vAlign w:val="center"/>
            <w:hideMark/>
          </w:tcPr>
          <w:p w14:paraId="7D9CFBCC"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1210</w:t>
            </w:r>
          </w:p>
        </w:tc>
        <w:tc>
          <w:tcPr>
            <w:tcW w:w="758" w:type="pct"/>
            <w:shd w:val="clear" w:color="auto" w:fill="auto"/>
            <w:noWrap/>
            <w:vAlign w:val="center"/>
            <w:hideMark/>
          </w:tcPr>
          <w:p w14:paraId="0A74C669"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56.1</w:t>
            </w:r>
          </w:p>
        </w:tc>
        <w:tc>
          <w:tcPr>
            <w:tcW w:w="747" w:type="pct"/>
            <w:shd w:val="clear" w:color="auto" w:fill="auto"/>
            <w:noWrap/>
            <w:vAlign w:val="center"/>
            <w:hideMark/>
          </w:tcPr>
          <w:p w14:paraId="3CEC6304"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26.1</w:t>
            </w:r>
          </w:p>
        </w:tc>
      </w:tr>
      <w:tr w:rsidR="00BB718B" w:rsidRPr="002331CD" w14:paraId="2D208EEA" w14:textId="77777777" w:rsidTr="00C912A7">
        <w:trPr>
          <w:trHeight w:val="300"/>
          <w:tblHeader/>
        </w:trPr>
        <w:tc>
          <w:tcPr>
            <w:tcW w:w="1627" w:type="pct"/>
            <w:shd w:val="clear" w:color="auto" w:fill="auto"/>
            <w:noWrap/>
            <w:vAlign w:val="center"/>
            <w:hideMark/>
          </w:tcPr>
          <w:p w14:paraId="24F739D8"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2010-11</w:t>
            </w:r>
          </w:p>
        </w:tc>
        <w:tc>
          <w:tcPr>
            <w:tcW w:w="1108" w:type="pct"/>
            <w:shd w:val="clear" w:color="auto" w:fill="auto"/>
            <w:noWrap/>
            <w:vAlign w:val="center"/>
            <w:hideMark/>
          </w:tcPr>
          <w:p w14:paraId="3B72D64E"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1940</w:t>
            </w:r>
          </w:p>
        </w:tc>
        <w:tc>
          <w:tcPr>
            <w:tcW w:w="760" w:type="pct"/>
            <w:shd w:val="clear" w:color="auto" w:fill="auto"/>
            <w:noWrap/>
            <w:vAlign w:val="center"/>
            <w:hideMark/>
          </w:tcPr>
          <w:p w14:paraId="3F944913"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1365</w:t>
            </w:r>
          </w:p>
        </w:tc>
        <w:tc>
          <w:tcPr>
            <w:tcW w:w="758" w:type="pct"/>
            <w:shd w:val="clear" w:color="auto" w:fill="auto"/>
            <w:noWrap/>
            <w:vAlign w:val="center"/>
            <w:hideMark/>
          </w:tcPr>
          <w:p w14:paraId="36C43678"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40.2</w:t>
            </w:r>
          </w:p>
        </w:tc>
        <w:tc>
          <w:tcPr>
            <w:tcW w:w="747" w:type="pct"/>
            <w:shd w:val="clear" w:color="auto" w:fill="auto"/>
            <w:noWrap/>
            <w:vAlign w:val="center"/>
            <w:hideMark/>
          </w:tcPr>
          <w:p w14:paraId="206A67E5"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22.3</w:t>
            </w:r>
          </w:p>
        </w:tc>
      </w:tr>
      <w:tr w:rsidR="00BB718B" w:rsidRPr="002331CD" w14:paraId="21A62A1E" w14:textId="77777777" w:rsidTr="00C912A7">
        <w:trPr>
          <w:trHeight w:val="300"/>
          <w:tblHeader/>
        </w:trPr>
        <w:tc>
          <w:tcPr>
            <w:tcW w:w="1627" w:type="pct"/>
            <w:shd w:val="clear" w:color="auto" w:fill="auto"/>
            <w:vAlign w:val="center"/>
            <w:hideMark/>
          </w:tcPr>
          <w:p w14:paraId="55176EDD" w14:textId="77777777" w:rsidR="00BB718B" w:rsidRPr="00CD7FE8" w:rsidRDefault="00EC1B05"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2011-12 (preliminary data)</w:t>
            </w:r>
          </w:p>
        </w:tc>
        <w:tc>
          <w:tcPr>
            <w:tcW w:w="1108" w:type="pct"/>
            <w:shd w:val="clear" w:color="auto" w:fill="auto"/>
            <w:noWrap/>
            <w:vAlign w:val="center"/>
            <w:hideMark/>
          </w:tcPr>
          <w:p w14:paraId="7F04F58A"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1675</w:t>
            </w:r>
          </w:p>
        </w:tc>
        <w:tc>
          <w:tcPr>
            <w:tcW w:w="760" w:type="pct"/>
            <w:shd w:val="clear" w:color="auto" w:fill="auto"/>
            <w:noWrap/>
            <w:vAlign w:val="center"/>
            <w:hideMark/>
          </w:tcPr>
          <w:p w14:paraId="7C4CA67D"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1460</w:t>
            </w:r>
          </w:p>
        </w:tc>
        <w:tc>
          <w:tcPr>
            <w:tcW w:w="758" w:type="pct"/>
            <w:shd w:val="clear" w:color="auto" w:fill="auto"/>
            <w:noWrap/>
            <w:vAlign w:val="center"/>
            <w:hideMark/>
          </w:tcPr>
          <w:p w14:paraId="239C1740"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24.3</w:t>
            </w:r>
          </w:p>
        </w:tc>
        <w:tc>
          <w:tcPr>
            <w:tcW w:w="747" w:type="pct"/>
            <w:shd w:val="clear" w:color="auto" w:fill="auto"/>
            <w:noWrap/>
            <w:vAlign w:val="center"/>
            <w:hideMark/>
          </w:tcPr>
          <w:p w14:paraId="3634C63F" w14:textId="77777777" w:rsidR="00BB718B" w:rsidRPr="00CD7FE8" w:rsidRDefault="00BB718B" w:rsidP="00C912A7">
            <w:pPr>
              <w:spacing w:after="0" w:line="240" w:lineRule="auto"/>
              <w:rPr>
                <w:rFonts w:ascii="Arial" w:eastAsia="Times New Roman" w:hAnsi="Arial" w:cs="Arial"/>
                <w:color w:val="000000"/>
                <w:sz w:val="24"/>
                <w:szCs w:val="24"/>
                <w:lang w:eastAsia="en-AU"/>
              </w:rPr>
            </w:pPr>
            <w:r w:rsidRPr="00CD7FE8">
              <w:rPr>
                <w:rFonts w:ascii="Arial" w:eastAsia="Times New Roman" w:hAnsi="Arial" w:cs="Arial"/>
                <w:color w:val="000000"/>
                <w:sz w:val="24"/>
                <w:szCs w:val="24"/>
                <w:lang w:eastAsia="en-AU"/>
              </w:rPr>
              <w:t>18.1</w:t>
            </w:r>
          </w:p>
        </w:tc>
      </w:tr>
    </w:tbl>
    <w:p w14:paraId="7EAA8275" w14:textId="77777777" w:rsidR="00BB718B" w:rsidRDefault="00BB718B" w:rsidP="004E7B04">
      <w:pPr>
        <w:rPr>
          <w:rFonts w:ascii="Arial" w:hAnsi="Arial" w:cs="Arial"/>
          <w:sz w:val="24"/>
          <w:szCs w:val="24"/>
        </w:rPr>
      </w:pPr>
    </w:p>
    <w:p w14:paraId="6E5BC03B" w14:textId="77777777" w:rsidR="00866FE9" w:rsidRPr="00133CFB" w:rsidRDefault="00866FE9" w:rsidP="004E7B04">
      <w:pPr>
        <w:rPr>
          <w:rFonts w:ascii="Arial" w:hAnsi="Arial" w:cs="Arial"/>
          <w:sz w:val="24"/>
          <w:szCs w:val="24"/>
        </w:rPr>
      </w:pPr>
      <w:r w:rsidRPr="00133CFB">
        <w:rPr>
          <w:rFonts w:ascii="Arial" w:hAnsi="Arial" w:cs="Arial"/>
          <w:sz w:val="24"/>
          <w:szCs w:val="24"/>
        </w:rPr>
        <w:t>The known key causes of injury in the disability sector are:</w:t>
      </w:r>
    </w:p>
    <w:p w14:paraId="50EA8FD8" w14:textId="77777777" w:rsidR="00866FE9" w:rsidRPr="00133CFB" w:rsidRDefault="008A7BB7" w:rsidP="008115DE">
      <w:pPr>
        <w:pStyle w:val="ListParagraph"/>
        <w:numPr>
          <w:ilvl w:val="0"/>
          <w:numId w:val="9"/>
        </w:numPr>
        <w:rPr>
          <w:rFonts w:ascii="Arial" w:hAnsi="Arial" w:cs="Arial"/>
          <w:sz w:val="24"/>
          <w:szCs w:val="24"/>
        </w:rPr>
      </w:pPr>
      <w:r>
        <w:rPr>
          <w:rFonts w:ascii="Arial" w:hAnsi="Arial" w:cs="Arial"/>
          <w:sz w:val="24"/>
          <w:szCs w:val="24"/>
        </w:rPr>
        <w:t>m</w:t>
      </w:r>
      <w:r w:rsidR="00866FE9" w:rsidRPr="00133CFB">
        <w:rPr>
          <w:rFonts w:ascii="Arial" w:hAnsi="Arial" w:cs="Arial"/>
          <w:sz w:val="24"/>
          <w:szCs w:val="24"/>
        </w:rPr>
        <w:t>anual handling</w:t>
      </w:r>
    </w:p>
    <w:p w14:paraId="519D2769" w14:textId="77777777" w:rsidR="00866FE9" w:rsidRPr="00133CFB" w:rsidRDefault="008A7BB7" w:rsidP="008115DE">
      <w:pPr>
        <w:pStyle w:val="ListParagraph"/>
        <w:numPr>
          <w:ilvl w:val="0"/>
          <w:numId w:val="9"/>
        </w:numPr>
        <w:rPr>
          <w:rFonts w:ascii="Arial" w:hAnsi="Arial" w:cs="Arial"/>
          <w:sz w:val="24"/>
          <w:szCs w:val="24"/>
        </w:rPr>
      </w:pPr>
      <w:r>
        <w:rPr>
          <w:rFonts w:ascii="Arial" w:hAnsi="Arial" w:cs="Arial"/>
          <w:sz w:val="24"/>
          <w:szCs w:val="24"/>
        </w:rPr>
        <w:t>s</w:t>
      </w:r>
      <w:r w:rsidR="00866FE9" w:rsidRPr="00133CFB">
        <w:rPr>
          <w:rFonts w:ascii="Arial" w:hAnsi="Arial" w:cs="Arial"/>
          <w:sz w:val="24"/>
          <w:szCs w:val="24"/>
        </w:rPr>
        <w:t>lips/trips/falls</w:t>
      </w:r>
    </w:p>
    <w:p w14:paraId="14FDCE19" w14:textId="77777777" w:rsidR="00866FE9" w:rsidRPr="00133CFB" w:rsidRDefault="008A7BB7" w:rsidP="008115DE">
      <w:pPr>
        <w:pStyle w:val="ListParagraph"/>
        <w:numPr>
          <w:ilvl w:val="0"/>
          <w:numId w:val="9"/>
        </w:numPr>
        <w:rPr>
          <w:rFonts w:ascii="Arial" w:hAnsi="Arial" w:cs="Arial"/>
          <w:sz w:val="24"/>
          <w:szCs w:val="24"/>
        </w:rPr>
      </w:pPr>
      <w:r>
        <w:rPr>
          <w:rFonts w:ascii="Arial" w:hAnsi="Arial" w:cs="Arial"/>
          <w:sz w:val="24"/>
          <w:szCs w:val="24"/>
        </w:rPr>
        <w:t>w</w:t>
      </w:r>
      <w:r w:rsidR="00866FE9" w:rsidRPr="00133CFB">
        <w:rPr>
          <w:rFonts w:ascii="Arial" w:hAnsi="Arial" w:cs="Arial"/>
          <w:sz w:val="24"/>
          <w:szCs w:val="24"/>
        </w:rPr>
        <w:t>orkplace violence</w:t>
      </w:r>
    </w:p>
    <w:p w14:paraId="67D85E96" w14:textId="77777777" w:rsidR="00866FE9" w:rsidRPr="00133CFB" w:rsidRDefault="008A7BB7" w:rsidP="008115DE">
      <w:pPr>
        <w:pStyle w:val="ListParagraph"/>
        <w:numPr>
          <w:ilvl w:val="0"/>
          <w:numId w:val="9"/>
        </w:numPr>
        <w:rPr>
          <w:rFonts w:ascii="Arial" w:hAnsi="Arial" w:cs="Arial"/>
          <w:sz w:val="24"/>
          <w:szCs w:val="24"/>
        </w:rPr>
      </w:pPr>
      <w:r>
        <w:rPr>
          <w:rFonts w:ascii="Arial" w:hAnsi="Arial" w:cs="Arial"/>
          <w:sz w:val="24"/>
          <w:szCs w:val="24"/>
        </w:rPr>
        <w:t>s</w:t>
      </w:r>
      <w:r w:rsidR="00866FE9" w:rsidRPr="00133CFB">
        <w:rPr>
          <w:rFonts w:ascii="Arial" w:hAnsi="Arial" w:cs="Arial"/>
          <w:sz w:val="24"/>
          <w:szCs w:val="24"/>
        </w:rPr>
        <w:t>triking/being struck by furniture or equipment</w:t>
      </w:r>
    </w:p>
    <w:p w14:paraId="72B18199" w14:textId="77777777" w:rsidR="00866FE9" w:rsidRPr="00133CFB" w:rsidRDefault="008A7BB7" w:rsidP="008115DE">
      <w:pPr>
        <w:pStyle w:val="ListParagraph"/>
        <w:numPr>
          <w:ilvl w:val="0"/>
          <w:numId w:val="9"/>
        </w:numPr>
        <w:rPr>
          <w:rFonts w:ascii="Arial" w:hAnsi="Arial" w:cs="Arial"/>
          <w:sz w:val="24"/>
          <w:szCs w:val="24"/>
        </w:rPr>
      </w:pPr>
      <w:r>
        <w:rPr>
          <w:rFonts w:ascii="Arial" w:hAnsi="Arial" w:cs="Arial"/>
          <w:sz w:val="24"/>
          <w:szCs w:val="24"/>
        </w:rPr>
        <w:lastRenderedPageBreak/>
        <w:t>p</w:t>
      </w:r>
      <w:r w:rsidR="00866FE9" w:rsidRPr="00133CFB">
        <w:rPr>
          <w:rFonts w:ascii="Arial" w:hAnsi="Arial" w:cs="Arial"/>
          <w:sz w:val="24"/>
          <w:szCs w:val="24"/>
        </w:rPr>
        <w:t>sychological injury</w:t>
      </w:r>
    </w:p>
    <w:p w14:paraId="1EC5B402" w14:textId="77777777" w:rsidR="00866FE9" w:rsidRPr="00133CFB" w:rsidRDefault="008A7BB7" w:rsidP="008115DE">
      <w:pPr>
        <w:pStyle w:val="ListParagraph"/>
        <w:numPr>
          <w:ilvl w:val="0"/>
          <w:numId w:val="9"/>
        </w:numPr>
        <w:rPr>
          <w:rFonts w:ascii="Arial" w:hAnsi="Arial" w:cs="Arial"/>
          <w:sz w:val="24"/>
          <w:szCs w:val="24"/>
        </w:rPr>
      </w:pPr>
      <w:r>
        <w:rPr>
          <w:rFonts w:ascii="Arial" w:hAnsi="Arial" w:cs="Arial"/>
          <w:sz w:val="24"/>
          <w:szCs w:val="24"/>
        </w:rPr>
        <w:t>v</w:t>
      </w:r>
      <w:r w:rsidR="00866FE9" w:rsidRPr="00133CFB">
        <w:rPr>
          <w:rFonts w:ascii="Arial" w:hAnsi="Arial" w:cs="Arial"/>
          <w:sz w:val="24"/>
          <w:szCs w:val="24"/>
        </w:rPr>
        <w:t>ehicle accidents.</w:t>
      </w:r>
    </w:p>
    <w:p w14:paraId="21977A15" w14:textId="77777777" w:rsidR="00866FE9" w:rsidRPr="00133CFB" w:rsidRDefault="00866FE9" w:rsidP="004E7B04">
      <w:pPr>
        <w:rPr>
          <w:rFonts w:ascii="Arial" w:hAnsi="Arial" w:cs="Arial"/>
          <w:sz w:val="24"/>
          <w:szCs w:val="24"/>
        </w:rPr>
      </w:pPr>
      <w:r w:rsidRPr="00133CFB">
        <w:rPr>
          <w:rFonts w:ascii="Arial" w:hAnsi="Arial" w:cs="Arial"/>
          <w:sz w:val="24"/>
          <w:szCs w:val="24"/>
        </w:rPr>
        <w:t xml:space="preserve">A further strong indicator of the sector’s performance in this area is the amount of time lost </w:t>
      </w:r>
      <w:r w:rsidR="008A7BB7">
        <w:rPr>
          <w:rFonts w:ascii="Arial" w:hAnsi="Arial" w:cs="Arial"/>
          <w:sz w:val="24"/>
          <w:szCs w:val="24"/>
        </w:rPr>
        <w:t>in</w:t>
      </w:r>
      <w:r w:rsidRPr="00133CFB">
        <w:rPr>
          <w:rFonts w:ascii="Arial" w:hAnsi="Arial" w:cs="Arial"/>
          <w:sz w:val="24"/>
          <w:szCs w:val="24"/>
        </w:rPr>
        <w:t xml:space="preserve"> a workplace injury. Recent WHS benchmarking for 2013</w:t>
      </w:r>
      <w:r w:rsidR="00AF6CCE">
        <w:rPr>
          <w:rFonts w:ascii="Arial" w:hAnsi="Arial" w:cs="Arial"/>
          <w:sz w:val="24"/>
          <w:szCs w:val="24"/>
        </w:rPr>
        <w:t>-</w:t>
      </w:r>
      <w:r w:rsidRPr="00133CFB">
        <w:rPr>
          <w:rFonts w:ascii="Arial" w:hAnsi="Arial" w:cs="Arial"/>
          <w:sz w:val="24"/>
          <w:szCs w:val="24"/>
        </w:rPr>
        <w:t>2014 found an average duration rate of 13.1 days lost for each claim. Time lost contributes to workers compensation costs</w:t>
      </w:r>
      <w:r w:rsidR="008A7BB7">
        <w:rPr>
          <w:rFonts w:ascii="Arial" w:hAnsi="Arial" w:cs="Arial"/>
          <w:sz w:val="24"/>
          <w:szCs w:val="24"/>
        </w:rPr>
        <w:t xml:space="preserve"> and</w:t>
      </w:r>
      <w:r w:rsidRPr="00133CFB">
        <w:rPr>
          <w:rFonts w:ascii="Arial" w:hAnsi="Arial" w:cs="Arial"/>
          <w:sz w:val="24"/>
          <w:szCs w:val="24"/>
        </w:rPr>
        <w:t xml:space="preserve"> to uninsured cost</w:t>
      </w:r>
      <w:r w:rsidR="00166B9B">
        <w:rPr>
          <w:rFonts w:ascii="Arial" w:hAnsi="Arial" w:cs="Arial"/>
          <w:sz w:val="24"/>
          <w:szCs w:val="24"/>
        </w:rPr>
        <w:t>s relating to replacement staff and reduced service provision. T</w:t>
      </w:r>
      <w:r w:rsidRPr="00133CFB">
        <w:rPr>
          <w:rFonts w:ascii="Arial" w:hAnsi="Arial" w:cs="Arial"/>
          <w:sz w:val="24"/>
          <w:szCs w:val="24"/>
        </w:rPr>
        <w:t>his duration rate is increasin</w:t>
      </w:r>
      <w:r w:rsidR="00AF6CCE">
        <w:rPr>
          <w:rFonts w:ascii="Arial" w:hAnsi="Arial" w:cs="Arial"/>
          <w:sz w:val="24"/>
          <w:szCs w:val="24"/>
        </w:rPr>
        <w:t>g among reporting organisations.</w:t>
      </w:r>
    </w:p>
    <w:p w14:paraId="4B334ACD" w14:textId="77777777" w:rsidR="00866FE9" w:rsidRPr="00133CFB" w:rsidRDefault="00166B9B" w:rsidP="004E7B04">
      <w:pPr>
        <w:rPr>
          <w:rFonts w:ascii="Arial" w:hAnsi="Arial" w:cs="Arial"/>
          <w:sz w:val="24"/>
          <w:szCs w:val="24"/>
        </w:rPr>
      </w:pPr>
      <w:r>
        <w:rPr>
          <w:rFonts w:ascii="Arial" w:hAnsi="Arial" w:cs="Arial"/>
          <w:sz w:val="24"/>
          <w:szCs w:val="24"/>
        </w:rPr>
        <w:t xml:space="preserve">There are </w:t>
      </w:r>
      <w:r w:rsidR="00866FE9" w:rsidRPr="00133CFB">
        <w:rPr>
          <w:rFonts w:ascii="Arial" w:hAnsi="Arial" w:cs="Arial"/>
          <w:sz w:val="24"/>
          <w:szCs w:val="24"/>
        </w:rPr>
        <w:t>two major ways disability service organisations can reduce their operating costs:</w:t>
      </w:r>
    </w:p>
    <w:p w14:paraId="09C965C7" w14:textId="77777777" w:rsidR="00866FE9" w:rsidRPr="00AF6CCE" w:rsidRDefault="00C20A1A" w:rsidP="00AF6CCE">
      <w:pPr>
        <w:pStyle w:val="ListParagraph"/>
        <w:numPr>
          <w:ilvl w:val="0"/>
          <w:numId w:val="44"/>
        </w:numPr>
        <w:rPr>
          <w:rFonts w:ascii="Arial" w:hAnsi="Arial" w:cs="Arial"/>
          <w:sz w:val="24"/>
          <w:szCs w:val="24"/>
        </w:rPr>
      </w:pPr>
      <w:r>
        <w:rPr>
          <w:rFonts w:ascii="Arial" w:hAnsi="Arial" w:cs="Arial"/>
          <w:sz w:val="24"/>
          <w:szCs w:val="24"/>
        </w:rPr>
        <w:t>i</w:t>
      </w:r>
      <w:r w:rsidR="00866FE9" w:rsidRPr="00AF6CCE">
        <w:rPr>
          <w:rFonts w:ascii="Arial" w:hAnsi="Arial" w:cs="Arial"/>
          <w:sz w:val="24"/>
          <w:szCs w:val="24"/>
        </w:rPr>
        <w:t>mproved work health and safety practices including:</w:t>
      </w:r>
    </w:p>
    <w:p w14:paraId="0E524BD4" w14:textId="77777777" w:rsidR="00866FE9" w:rsidRPr="00133CFB" w:rsidRDefault="00AF7165" w:rsidP="00AF6CCE">
      <w:pPr>
        <w:pStyle w:val="List2ndlevel"/>
        <w:numPr>
          <w:ilvl w:val="0"/>
          <w:numId w:val="45"/>
        </w:numPr>
        <w:rPr>
          <w:rFonts w:ascii="Arial" w:hAnsi="Arial" w:cs="Arial"/>
          <w:sz w:val="24"/>
          <w:szCs w:val="24"/>
        </w:rPr>
      </w:pPr>
      <w:r>
        <w:rPr>
          <w:rFonts w:ascii="Arial" w:hAnsi="Arial" w:cs="Arial"/>
          <w:sz w:val="24"/>
          <w:szCs w:val="24"/>
        </w:rPr>
        <w:t>s</w:t>
      </w:r>
      <w:r w:rsidR="00866FE9" w:rsidRPr="00133CFB">
        <w:rPr>
          <w:rFonts w:ascii="Arial" w:hAnsi="Arial" w:cs="Arial"/>
          <w:sz w:val="24"/>
          <w:szCs w:val="24"/>
        </w:rPr>
        <w:t>afe work environment</w:t>
      </w:r>
    </w:p>
    <w:p w14:paraId="0633B0E7" w14:textId="77777777" w:rsidR="00866FE9" w:rsidRPr="00133CFB" w:rsidRDefault="00AF7165" w:rsidP="00AF6CCE">
      <w:pPr>
        <w:pStyle w:val="List2ndlevel"/>
        <w:numPr>
          <w:ilvl w:val="0"/>
          <w:numId w:val="45"/>
        </w:numPr>
        <w:rPr>
          <w:rFonts w:ascii="Arial" w:hAnsi="Arial" w:cs="Arial"/>
          <w:sz w:val="24"/>
          <w:szCs w:val="24"/>
        </w:rPr>
      </w:pPr>
      <w:r>
        <w:rPr>
          <w:rFonts w:ascii="Arial" w:hAnsi="Arial" w:cs="Arial"/>
          <w:sz w:val="24"/>
          <w:szCs w:val="24"/>
        </w:rPr>
        <w:t>s</w:t>
      </w:r>
      <w:r w:rsidR="00866FE9" w:rsidRPr="00133CFB">
        <w:rPr>
          <w:rFonts w:ascii="Arial" w:hAnsi="Arial" w:cs="Arial"/>
          <w:sz w:val="24"/>
          <w:szCs w:val="24"/>
        </w:rPr>
        <w:t>afe work equipment</w:t>
      </w:r>
    </w:p>
    <w:p w14:paraId="081639D4" w14:textId="77777777" w:rsidR="00866FE9" w:rsidRPr="00133CFB" w:rsidRDefault="00AF7165" w:rsidP="00AF6CCE">
      <w:pPr>
        <w:pStyle w:val="List2ndlevel"/>
        <w:numPr>
          <w:ilvl w:val="0"/>
          <w:numId w:val="45"/>
        </w:numPr>
        <w:rPr>
          <w:rFonts w:ascii="Arial" w:hAnsi="Arial" w:cs="Arial"/>
          <w:sz w:val="24"/>
          <w:szCs w:val="24"/>
        </w:rPr>
      </w:pPr>
      <w:r>
        <w:rPr>
          <w:rFonts w:ascii="Arial" w:hAnsi="Arial" w:cs="Arial"/>
          <w:sz w:val="24"/>
          <w:szCs w:val="24"/>
        </w:rPr>
        <w:t>s</w:t>
      </w:r>
      <w:r w:rsidR="00866FE9" w:rsidRPr="00133CFB">
        <w:rPr>
          <w:rFonts w:ascii="Arial" w:hAnsi="Arial" w:cs="Arial"/>
          <w:sz w:val="24"/>
          <w:szCs w:val="24"/>
        </w:rPr>
        <w:t>afe work practices</w:t>
      </w:r>
    </w:p>
    <w:p w14:paraId="57B53E6D" w14:textId="77777777" w:rsidR="00866FE9" w:rsidRPr="00133CFB" w:rsidRDefault="00AF7165" w:rsidP="00AF6CCE">
      <w:pPr>
        <w:pStyle w:val="List2ndlevel"/>
        <w:numPr>
          <w:ilvl w:val="0"/>
          <w:numId w:val="45"/>
        </w:numPr>
        <w:rPr>
          <w:rFonts w:ascii="Arial" w:hAnsi="Arial" w:cs="Arial"/>
          <w:sz w:val="24"/>
          <w:szCs w:val="24"/>
        </w:rPr>
      </w:pPr>
      <w:r>
        <w:rPr>
          <w:rFonts w:ascii="Arial" w:hAnsi="Arial" w:cs="Arial"/>
          <w:sz w:val="24"/>
          <w:szCs w:val="24"/>
        </w:rPr>
        <w:t>i</w:t>
      </w:r>
      <w:r w:rsidR="00866FE9" w:rsidRPr="00133CFB">
        <w:rPr>
          <w:rFonts w:ascii="Arial" w:hAnsi="Arial" w:cs="Arial"/>
          <w:sz w:val="24"/>
          <w:szCs w:val="24"/>
        </w:rPr>
        <w:t>nduction and ongoing training and supervision</w:t>
      </w:r>
    </w:p>
    <w:p w14:paraId="5F28AF37" w14:textId="77777777" w:rsidR="00866FE9" w:rsidRPr="00AF6CCE" w:rsidRDefault="00C20A1A" w:rsidP="00AF6CCE">
      <w:pPr>
        <w:pStyle w:val="ListParagraph"/>
        <w:numPr>
          <w:ilvl w:val="0"/>
          <w:numId w:val="46"/>
        </w:numPr>
        <w:rPr>
          <w:rFonts w:ascii="Arial" w:hAnsi="Arial" w:cs="Arial"/>
          <w:sz w:val="24"/>
          <w:szCs w:val="24"/>
        </w:rPr>
      </w:pPr>
      <w:r>
        <w:rPr>
          <w:rFonts w:ascii="Arial" w:hAnsi="Arial" w:cs="Arial"/>
          <w:sz w:val="24"/>
          <w:szCs w:val="24"/>
        </w:rPr>
        <w:t>i</w:t>
      </w:r>
      <w:r w:rsidR="00866FE9" w:rsidRPr="00AF6CCE">
        <w:rPr>
          <w:rFonts w:ascii="Arial" w:hAnsi="Arial" w:cs="Arial"/>
          <w:sz w:val="24"/>
          <w:szCs w:val="24"/>
        </w:rPr>
        <w:t>mproved injury management practices including:</w:t>
      </w:r>
    </w:p>
    <w:p w14:paraId="36D6C618" w14:textId="77777777" w:rsidR="00866FE9" w:rsidRPr="00133CFB" w:rsidRDefault="00143028" w:rsidP="00143028">
      <w:pPr>
        <w:pStyle w:val="List2ndlevel"/>
        <w:numPr>
          <w:ilvl w:val="0"/>
          <w:numId w:val="47"/>
        </w:numPr>
        <w:rPr>
          <w:rFonts w:ascii="Arial" w:hAnsi="Arial" w:cs="Arial"/>
          <w:sz w:val="24"/>
          <w:szCs w:val="24"/>
        </w:rPr>
      </w:pPr>
      <w:r>
        <w:rPr>
          <w:rFonts w:ascii="Arial" w:hAnsi="Arial" w:cs="Arial"/>
          <w:sz w:val="24"/>
          <w:szCs w:val="24"/>
        </w:rPr>
        <w:t>i</w:t>
      </w:r>
      <w:r w:rsidR="00866FE9" w:rsidRPr="00133CFB">
        <w:rPr>
          <w:rFonts w:ascii="Arial" w:hAnsi="Arial" w:cs="Arial"/>
          <w:sz w:val="24"/>
          <w:szCs w:val="24"/>
        </w:rPr>
        <w:t>nvestigation of reported incidents</w:t>
      </w:r>
    </w:p>
    <w:p w14:paraId="687A5CE2" w14:textId="77777777" w:rsidR="00866FE9" w:rsidRPr="00133CFB" w:rsidRDefault="00143028" w:rsidP="00143028">
      <w:pPr>
        <w:pStyle w:val="List2ndlevel"/>
        <w:numPr>
          <w:ilvl w:val="0"/>
          <w:numId w:val="47"/>
        </w:numPr>
        <w:rPr>
          <w:rFonts w:ascii="Arial" w:hAnsi="Arial" w:cs="Arial"/>
          <w:sz w:val="24"/>
          <w:szCs w:val="24"/>
        </w:rPr>
      </w:pPr>
      <w:r>
        <w:rPr>
          <w:rFonts w:ascii="Arial" w:hAnsi="Arial" w:cs="Arial"/>
          <w:sz w:val="24"/>
          <w:szCs w:val="24"/>
        </w:rPr>
        <w:t>e</w:t>
      </w:r>
      <w:r w:rsidR="00866FE9" w:rsidRPr="00133CFB">
        <w:rPr>
          <w:rFonts w:ascii="Arial" w:hAnsi="Arial" w:cs="Arial"/>
          <w:sz w:val="24"/>
          <w:szCs w:val="24"/>
        </w:rPr>
        <w:t>arly intervention and return to work support</w:t>
      </w:r>
    </w:p>
    <w:p w14:paraId="394A45F5" w14:textId="77777777" w:rsidR="00866FE9" w:rsidRPr="00133CFB" w:rsidRDefault="00143028" w:rsidP="00143028">
      <w:pPr>
        <w:pStyle w:val="List2ndlevel"/>
        <w:numPr>
          <w:ilvl w:val="0"/>
          <w:numId w:val="47"/>
        </w:numPr>
        <w:rPr>
          <w:rFonts w:ascii="Arial" w:hAnsi="Arial" w:cs="Arial"/>
          <w:sz w:val="24"/>
          <w:szCs w:val="24"/>
        </w:rPr>
      </w:pPr>
      <w:r>
        <w:rPr>
          <w:rFonts w:ascii="Arial" w:hAnsi="Arial" w:cs="Arial"/>
          <w:sz w:val="24"/>
          <w:szCs w:val="24"/>
        </w:rPr>
        <w:t>m</w:t>
      </w:r>
      <w:r w:rsidR="00866FE9" w:rsidRPr="00133CFB">
        <w:rPr>
          <w:rFonts w:ascii="Arial" w:hAnsi="Arial" w:cs="Arial"/>
          <w:sz w:val="24"/>
          <w:szCs w:val="24"/>
        </w:rPr>
        <w:t>onitoring and support of injured worker to achieve a return to pre-injury duties</w:t>
      </w:r>
      <w:r>
        <w:rPr>
          <w:rFonts w:ascii="Arial" w:hAnsi="Arial" w:cs="Arial"/>
          <w:sz w:val="24"/>
          <w:szCs w:val="24"/>
        </w:rPr>
        <w:t>.</w:t>
      </w:r>
    </w:p>
    <w:p w14:paraId="716AAB82" w14:textId="77777777" w:rsidR="00511311" w:rsidRPr="00133CFB" w:rsidRDefault="00511311" w:rsidP="004E7B04">
      <w:pPr>
        <w:pStyle w:val="List2ndlevel"/>
        <w:numPr>
          <w:ilvl w:val="0"/>
          <w:numId w:val="0"/>
        </w:numPr>
        <w:rPr>
          <w:rFonts w:ascii="Arial" w:hAnsi="Arial" w:cs="Arial"/>
          <w:sz w:val="24"/>
          <w:szCs w:val="24"/>
        </w:rPr>
      </w:pPr>
    </w:p>
    <w:p w14:paraId="24427C76" w14:textId="77777777" w:rsidR="00511311" w:rsidRPr="00133CFB" w:rsidRDefault="00511311" w:rsidP="004E7B04">
      <w:pPr>
        <w:spacing w:after="160" w:line="259" w:lineRule="auto"/>
        <w:rPr>
          <w:rFonts w:ascii="Arial" w:hAnsi="Arial" w:cs="Arial"/>
          <w:sz w:val="24"/>
          <w:szCs w:val="24"/>
        </w:rPr>
      </w:pPr>
      <w:r w:rsidRPr="00133CFB">
        <w:rPr>
          <w:rFonts w:ascii="Arial" w:hAnsi="Arial" w:cs="Arial"/>
          <w:sz w:val="24"/>
          <w:szCs w:val="24"/>
        </w:rPr>
        <w:br w:type="page"/>
      </w:r>
    </w:p>
    <w:p w14:paraId="25AD7371" w14:textId="77777777" w:rsidR="00511311" w:rsidRPr="00133CFB" w:rsidRDefault="00511311" w:rsidP="00143028">
      <w:pPr>
        <w:pStyle w:val="Heading1"/>
      </w:pPr>
      <w:bookmarkStart w:id="250" w:name="_Toc405797903"/>
      <w:r w:rsidRPr="00133CFB">
        <w:lastRenderedPageBreak/>
        <w:t>Research and evidence</w:t>
      </w:r>
      <w:bookmarkEnd w:id="250"/>
    </w:p>
    <w:p w14:paraId="0A326EDA" w14:textId="77777777" w:rsidR="00B20839" w:rsidRPr="00133CFB" w:rsidRDefault="00611F24" w:rsidP="001F094B">
      <w:pPr>
        <w:pStyle w:val="Heading2"/>
      </w:pPr>
      <w:bookmarkStart w:id="251" w:name="_Toc403038282"/>
      <w:bookmarkStart w:id="252" w:name="_Toc403043476"/>
      <w:bookmarkStart w:id="253" w:name="_Toc403043560"/>
      <w:bookmarkStart w:id="254" w:name="_Toc403043644"/>
      <w:bookmarkStart w:id="255" w:name="_Toc403043734"/>
      <w:bookmarkStart w:id="256" w:name="_Toc403047825"/>
      <w:bookmarkStart w:id="257" w:name="_Toc403051805"/>
      <w:bookmarkStart w:id="258" w:name="_Toc403332127"/>
      <w:bookmarkStart w:id="259" w:name="_Toc403896011"/>
      <w:bookmarkStart w:id="260" w:name="_Toc403896078"/>
      <w:bookmarkStart w:id="261" w:name="_Toc403897108"/>
      <w:bookmarkStart w:id="262" w:name="_Toc403900523"/>
      <w:bookmarkStart w:id="263" w:name="_Toc403900623"/>
      <w:bookmarkStart w:id="264" w:name="_Toc403900695"/>
      <w:bookmarkStart w:id="265" w:name="_Toc403900998"/>
      <w:bookmarkStart w:id="266" w:name="_Toc404000339"/>
      <w:bookmarkStart w:id="267" w:name="_Toc404000428"/>
      <w:bookmarkStart w:id="268" w:name="_Toc404000614"/>
      <w:bookmarkStart w:id="269" w:name="_Toc404000680"/>
      <w:bookmarkStart w:id="270" w:name="_Toc404089647"/>
      <w:bookmarkStart w:id="271" w:name="_Toc404089712"/>
      <w:bookmarkStart w:id="272" w:name="_Toc404089777"/>
      <w:bookmarkStart w:id="273" w:name="_Toc404089890"/>
      <w:bookmarkStart w:id="274" w:name="_Toc404089954"/>
      <w:bookmarkStart w:id="275" w:name="_Toc404255290"/>
      <w:bookmarkStart w:id="276" w:name="_Toc404255355"/>
      <w:bookmarkStart w:id="277" w:name="_Toc404255448"/>
      <w:bookmarkStart w:id="278" w:name="_Toc404089955"/>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Key</w:t>
      </w:r>
      <w:r w:rsidR="00B20839" w:rsidRPr="00133CFB">
        <w:t xml:space="preserve"> points</w:t>
      </w:r>
      <w:bookmarkEnd w:id="278"/>
      <w:r w:rsidR="00B20839" w:rsidRPr="00133CFB">
        <w:t xml:space="preserve"> </w:t>
      </w:r>
    </w:p>
    <w:p w14:paraId="4BD34888" w14:textId="77777777" w:rsidR="00D154A8" w:rsidRPr="00133CFB" w:rsidRDefault="00D154A8" w:rsidP="00D154A8">
      <w:pPr>
        <w:pStyle w:val="ListParagraph"/>
        <w:numPr>
          <w:ilvl w:val="0"/>
          <w:numId w:val="21"/>
        </w:numPr>
        <w:spacing w:after="160" w:line="259" w:lineRule="auto"/>
        <w:rPr>
          <w:rFonts w:ascii="Arial" w:hAnsi="Arial" w:cs="Arial"/>
          <w:sz w:val="24"/>
          <w:szCs w:val="24"/>
        </w:rPr>
      </w:pPr>
      <w:r w:rsidRPr="00133CFB">
        <w:rPr>
          <w:rFonts w:ascii="Arial" w:hAnsi="Arial" w:cs="Arial"/>
          <w:sz w:val="24"/>
          <w:szCs w:val="24"/>
        </w:rPr>
        <w:t xml:space="preserve">the current disability research base is not fit for purpose </w:t>
      </w:r>
    </w:p>
    <w:p w14:paraId="0392711C" w14:textId="77777777" w:rsidR="00B20839" w:rsidRPr="00D154A8" w:rsidRDefault="00D154A8" w:rsidP="00D154A8">
      <w:pPr>
        <w:pStyle w:val="ListParagraph"/>
        <w:numPr>
          <w:ilvl w:val="0"/>
          <w:numId w:val="21"/>
        </w:numPr>
        <w:spacing w:after="160" w:line="259" w:lineRule="auto"/>
        <w:rPr>
          <w:rFonts w:ascii="Arial" w:hAnsi="Arial" w:cs="Arial"/>
          <w:sz w:val="24"/>
          <w:szCs w:val="24"/>
        </w:rPr>
      </w:pPr>
      <w:r w:rsidRPr="00133CFB">
        <w:rPr>
          <w:rFonts w:ascii="Arial" w:hAnsi="Arial" w:cs="Arial"/>
          <w:sz w:val="24"/>
          <w:szCs w:val="24"/>
        </w:rPr>
        <w:t>significant increased investment in disability research is urgently needed to support the projected $22 billio</w:t>
      </w:r>
      <w:r>
        <w:rPr>
          <w:rFonts w:ascii="Arial" w:hAnsi="Arial" w:cs="Arial"/>
          <w:sz w:val="24"/>
          <w:szCs w:val="24"/>
        </w:rPr>
        <w:t xml:space="preserve">n disability market </w:t>
      </w:r>
      <w:r w:rsidRPr="00133CFB">
        <w:rPr>
          <w:rFonts w:ascii="Arial" w:hAnsi="Arial" w:cs="Arial"/>
          <w:sz w:val="24"/>
          <w:szCs w:val="24"/>
        </w:rPr>
        <w:t xml:space="preserve">and </w:t>
      </w:r>
      <w:r>
        <w:rPr>
          <w:rFonts w:ascii="Arial" w:hAnsi="Arial" w:cs="Arial"/>
          <w:sz w:val="24"/>
          <w:szCs w:val="24"/>
        </w:rPr>
        <w:t>the insurance approach that underpins the NDIS.</w:t>
      </w:r>
      <w:r w:rsidR="0023737B" w:rsidRPr="00D154A8">
        <w:rPr>
          <w:rFonts w:ascii="Arial" w:hAnsi="Arial" w:cs="Arial"/>
          <w:sz w:val="24"/>
          <w:szCs w:val="24"/>
        </w:rPr>
        <w:t xml:space="preserve"> </w:t>
      </w:r>
    </w:p>
    <w:p w14:paraId="240A01A3" w14:textId="77777777" w:rsidR="00B20839" w:rsidRPr="00133CFB" w:rsidRDefault="00B20839" w:rsidP="001F094B">
      <w:pPr>
        <w:pStyle w:val="Heading2"/>
      </w:pPr>
      <w:bookmarkStart w:id="279" w:name="_Toc404089956"/>
      <w:r w:rsidRPr="00133CFB">
        <w:t>S</w:t>
      </w:r>
      <w:r w:rsidR="00611F24">
        <w:t>t</w:t>
      </w:r>
      <w:r w:rsidRPr="00133CFB">
        <w:t xml:space="preserve">ate of </w:t>
      </w:r>
      <w:r w:rsidR="00611F24">
        <w:t>r</w:t>
      </w:r>
      <w:r w:rsidRPr="00133CFB">
        <w:t>esearch</w:t>
      </w:r>
      <w:bookmarkEnd w:id="279"/>
    </w:p>
    <w:p w14:paraId="2EED821D" w14:textId="77777777" w:rsidR="00B20839" w:rsidRPr="00133CFB" w:rsidRDefault="00B20839" w:rsidP="004E7B04">
      <w:pPr>
        <w:spacing w:after="160" w:line="259" w:lineRule="auto"/>
        <w:rPr>
          <w:rFonts w:ascii="Arial" w:hAnsi="Arial" w:cs="Arial"/>
          <w:sz w:val="24"/>
          <w:szCs w:val="24"/>
        </w:rPr>
      </w:pPr>
      <w:r w:rsidRPr="00133CFB">
        <w:rPr>
          <w:rFonts w:ascii="Arial" w:hAnsi="Arial" w:cs="Arial"/>
          <w:sz w:val="24"/>
          <w:szCs w:val="24"/>
        </w:rPr>
        <w:t>The recent most comprehensive audit of disa</w:t>
      </w:r>
      <w:r w:rsidR="00AF7165">
        <w:rPr>
          <w:rFonts w:ascii="Arial" w:hAnsi="Arial" w:cs="Arial"/>
          <w:sz w:val="24"/>
          <w:szCs w:val="24"/>
        </w:rPr>
        <w:t xml:space="preserve">bility research concluded that </w:t>
      </w:r>
      <w:r w:rsidRPr="00133CFB">
        <w:rPr>
          <w:rFonts w:ascii="Arial" w:hAnsi="Arial" w:cs="Arial"/>
          <w:sz w:val="24"/>
          <w:szCs w:val="24"/>
        </w:rPr>
        <w:t xml:space="preserve">the current disability research base is not fit for purpose </w:t>
      </w:r>
      <w:r w:rsidR="00AF7165">
        <w:rPr>
          <w:rFonts w:ascii="Arial" w:hAnsi="Arial" w:cs="Arial"/>
          <w:sz w:val="24"/>
          <w:szCs w:val="24"/>
        </w:rPr>
        <w:t>for</w:t>
      </w:r>
      <w:r w:rsidRPr="00133CFB">
        <w:rPr>
          <w:rFonts w:ascii="Arial" w:hAnsi="Arial" w:cs="Arial"/>
          <w:sz w:val="24"/>
          <w:szCs w:val="24"/>
        </w:rPr>
        <w:t xml:space="preserve"> the reform agenda and is fragmented and diversified </w:t>
      </w:r>
      <w:r w:rsidR="00611F24">
        <w:rPr>
          <w:rFonts w:ascii="Arial" w:hAnsi="Arial" w:cs="Arial"/>
          <w:sz w:val="24"/>
          <w:szCs w:val="24"/>
        </w:rPr>
        <w:t>across topics and study designs.</w:t>
      </w:r>
      <w:r w:rsidRPr="00133CFB">
        <w:rPr>
          <w:rFonts w:ascii="Arial" w:hAnsi="Arial" w:cs="Arial"/>
          <w:sz w:val="24"/>
          <w:szCs w:val="24"/>
        </w:rPr>
        <w:t xml:space="preserve"> </w:t>
      </w:r>
    </w:p>
    <w:p w14:paraId="68A55957" w14:textId="77777777" w:rsidR="00B20839" w:rsidRPr="00133CFB" w:rsidRDefault="00B20839" w:rsidP="004E7B04">
      <w:pPr>
        <w:spacing w:after="160" w:line="259" w:lineRule="auto"/>
        <w:rPr>
          <w:rFonts w:ascii="Arial" w:hAnsi="Arial" w:cs="Arial"/>
          <w:sz w:val="24"/>
          <w:szCs w:val="24"/>
        </w:rPr>
      </w:pPr>
      <w:r w:rsidRPr="00133CFB">
        <w:rPr>
          <w:rFonts w:ascii="Arial" w:hAnsi="Arial" w:cs="Arial"/>
          <w:sz w:val="24"/>
          <w:szCs w:val="24"/>
        </w:rPr>
        <w:t xml:space="preserve">The audit also found that there was no critical mass of research on topics of priority to the National Disability Strategy, the National Disability Research and Development Agenda and the NDIS. </w:t>
      </w:r>
    </w:p>
    <w:p w14:paraId="2A615166" w14:textId="77777777" w:rsidR="00B20839" w:rsidRPr="00133CFB" w:rsidRDefault="00B20839" w:rsidP="004E7B04">
      <w:pPr>
        <w:spacing w:after="160" w:line="259" w:lineRule="auto"/>
        <w:rPr>
          <w:rFonts w:ascii="Arial" w:hAnsi="Arial" w:cs="Arial"/>
          <w:sz w:val="24"/>
          <w:szCs w:val="24"/>
        </w:rPr>
      </w:pPr>
      <w:r w:rsidRPr="00133CFB">
        <w:rPr>
          <w:rFonts w:ascii="Arial" w:hAnsi="Arial" w:cs="Arial"/>
          <w:sz w:val="24"/>
          <w:szCs w:val="24"/>
        </w:rPr>
        <w:t>Other key findings include:</w:t>
      </w:r>
    </w:p>
    <w:p w14:paraId="727C7405" w14:textId="77777777" w:rsidR="00B20839" w:rsidRPr="00143028" w:rsidRDefault="00AF7165" w:rsidP="008115DE">
      <w:pPr>
        <w:pStyle w:val="ListParagraph"/>
        <w:numPr>
          <w:ilvl w:val="0"/>
          <w:numId w:val="19"/>
        </w:numPr>
        <w:spacing w:after="160" w:line="259" w:lineRule="auto"/>
        <w:rPr>
          <w:rFonts w:ascii="Arial" w:hAnsi="Arial" w:cs="Arial"/>
          <w:sz w:val="24"/>
          <w:szCs w:val="24"/>
        </w:rPr>
      </w:pPr>
      <w:r w:rsidRPr="00143028">
        <w:rPr>
          <w:rFonts w:ascii="Arial" w:hAnsi="Arial" w:cs="Arial"/>
          <w:sz w:val="24"/>
          <w:szCs w:val="24"/>
        </w:rPr>
        <w:t>d</w:t>
      </w:r>
      <w:r w:rsidR="00B20839" w:rsidRPr="00143028">
        <w:rPr>
          <w:rFonts w:ascii="Arial" w:hAnsi="Arial" w:cs="Arial"/>
          <w:sz w:val="24"/>
          <w:szCs w:val="24"/>
        </w:rPr>
        <w:t>isability research in Aust</w:t>
      </w:r>
      <w:r w:rsidR="00611F24" w:rsidRPr="00143028">
        <w:rPr>
          <w:rFonts w:ascii="Arial" w:hAnsi="Arial" w:cs="Arial"/>
          <w:sz w:val="24"/>
          <w:szCs w:val="24"/>
        </w:rPr>
        <w:t>ralia is not easily accessible</w:t>
      </w:r>
    </w:p>
    <w:p w14:paraId="2B7BC5F9" w14:textId="77777777" w:rsidR="00B20839" w:rsidRPr="00143028" w:rsidRDefault="00AF7165" w:rsidP="008115DE">
      <w:pPr>
        <w:pStyle w:val="ListParagraph"/>
        <w:numPr>
          <w:ilvl w:val="0"/>
          <w:numId w:val="19"/>
        </w:numPr>
        <w:spacing w:after="160" w:line="259" w:lineRule="auto"/>
        <w:rPr>
          <w:rFonts w:ascii="Arial" w:hAnsi="Arial" w:cs="Arial"/>
          <w:sz w:val="24"/>
          <w:szCs w:val="24"/>
        </w:rPr>
      </w:pPr>
      <w:r w:rsidRPr="00143028">
        <w:rPr>
          <w:rFonts w:ascii="Arial" w:hAnsi="Arial" w:cs="Arial"/>
          <w:sz w:val="24"/>
          <w:szCs w:val="24"/>
        </w:rPr>
        <w:t>t</w:t>
      </w:r>
      <w:r w:rsidR="004667B2" w:rsidRPr="00143028">
        <w:rPr>
          <w:rFonts w:ascii="Arial" w:hAnsi="Arial" w:cs="Arial"/>
          <w:sz w:val="24"/>
          <w:szCs w:val="24"/>
        </w:rPr>
        <w:t>here is g</w:t>
      </w:r>
      <w:r w:rsidR="00B20839" w:rsidRPr="00143028">
        <w:rPr>
          <w:rFonts w:ascii="Arial" w:hAnsi="Arial" w:cs="Arial"/>
          <w:sz w:val="24"/>
          <w:szCs w:val="24"/>
        </w:rPr>
        <w:t>reater concentration of research in health, and to a lesser extent education, where ther</w:t>
      </w:r>
      <w:r w:rsidR="00611F24" w:rsidRPr="00143028">
        <w:rPr>
          <w:rFonts w:ascii="Arial" w:hAnsi="Arial" w:cs="Arial"/>
          <w:sz w:val="24"/>
          <w:szCs w:val="24"/>
        </w:rPr>
        <w:t>e are established funding bases</w:t>
      </w:r>
      <w:r w:rsidR="00B20839" w:rsidRPr="00143028">
        <w:rPr>
          <w:rFonts w:ascii="Arial" w:hAnsi="Arial" w:cs="Arial"/>
          <w:sz w:val="24"/>
          <w:szCs w:val="24"/>
        </w:rPr>
        <w:t xml:space="preserve"> </w:t>
      </w:r>
    </w:p>
    <w:p w14:paraId="4666B97F" w14:textId="77777777" w:rsidR="00B20839" w:rsidRPr="00133CFB" w:rsidRDefault="00AF7165" w:rsidP="008115DE">
      <w:pPr>
        <w:pStyle w:val="ListParagraph"/>
        <w:numPr>
          <w:ilvl w:val="0"/>
          <w:numId w:val="19"/>
        </w:numPr>
        <w:spacing w:after="160" w:line="259" w:lineRule="auto"/>
        <w:rPr>
          <w:rFonts w:ascii="Arial" w:hAnsi="Arial" w:cs="Arial"/>
          <w:sz w:val="24"/>
          <w:szCs w:val="24"/>
        </w:rPr>
      </w:pPr>
      <w:r w:rsidRPr="00143028">
        <w:rPr>
          <w:rFonts w:ascii="Arial" w:hAnsi="Arial" w:cs="Arial"/>
          <w:sz w:val="24"/>
          <w:szCs w:val="24"/>
        </w:rPr>
        <w:t>s</w:t>
      </w:r>
      <w:r w:rsidR="00611F24" w:rsidRPr="00143028">
        <w:rPr>
          <w:rFonts w:ascii="Arial" w:hAnsi="Arial" w:cs="Arial"/>
          <w:sz w:val="24"/>
          <w:szCs w:val="24"/>
        </w:rPr>
        <w:t>tudies are primarily one-off and</w:t>
      </w:r>
      <w:r w:rsidR="00B20839" w:rsidRPr="00143028">
        <w:rPr>
          <w:rFonts w:ascii="Arial" w:hAnsi="Arial" w:cs="Arial"/>
          <w:sz w:val="24"/>
          <w:szCs w:val="24"/>
        </w:rPr>
        <w:t xml:space="preserve"> </w:t>
      </w:r>
      <w:r w:rsidR="00611F24" w:rsidRPr="00143028">
        <w:rPr>
          <w:rFonts w:ascii="Arial" w:hAnsi="Arial" w:cs="Arial"/>
          <w:sz w:val="24"/>
          <w:szCs w:val="24"/>
        </w:rPr>
        <w:t>stand</w:t>
      </w:r>
      <w:r w:rsidR="00B20839" w:rsidRPr="00143028">
        <w:rPr>
          <w:rFonts w:ascii="Arial" w:hAnsi="Arial" w:cs="Arial"/>
          <w:sz w:val="24"/>
          <w:szCs w:val="24"/>
        </w:rPr>
        <w:t>alone in areas of research</w:t>
      </w:r>
      <w:r w:rsidR="00611F24" w:rsidRPr="00143028">
        <w:rPr>
          <w:rFonts w:ascii="Arial" w:hAnsi="Arial" w:cs="Arial"/>
          <w:sz w:val="24"/>
          <w:szCs w:val="24"/>
        </w:rPr>
        <w:t>er or organisational interest</w:t>
      </w:r>
      <w:r w:rsidR="004667B2">
        <w:rPr>
          <w:rFonts w:ascii="Arial" w:hAnsi="Arial" w:cs="Arial"/>
          <w:sz w:val="24"/>
          <w:szCs w:val="24"/>
        </w:rPr>
        <w:t>; t</w:t>
      </w:r>
      <w:r w:rsidR="00611F24">
        <w:rPr>
          <w:rFonts w:ascii="Arial" w:hAnsi="Arial" w:cs="Arial"/>
          <w:sz w:val="24"/>
          <w:szCs w:val="24"/>
        </w:rPr>
        <w:t>his is n</w:t>
      </w:r>
      <w:r w:rsidR="00B20839" w:rsidRPr="00133CFB">
        <w:rPr>
          <w:rFonts w:ascii="Arial" w:hAnsi="Arial" w:cs="Arial"/>
          <w:sz w:val="24"/>
          <w:szCs w:val="24"/>
        </w:rPr>
        <w:t>ot a mature</w:t>
      </w:r>
      <w:r w:rsidR="00611F24">
        <w:rPr>
          <w:rFonts w:ascii="Arial" w:hAnsi="Arial" w:cs="Arial"/>
          <w:sz w:val="24"/>
          <w:szCs w:val="24"/>
        </w:rPr>
        <w:t>,</w:t>
      </w:r>
      <w:r w:rsidR="00B20839" w:rsidRPr="00133CFB">
        <w:rPr>
          <w:rFonts w:ascii="Arial" w:hAnsi="Arial" w:cs="Arial"/>
          <w:sz w:val="24"/>
          <w:szCs w:val="24"/>
        </w:rPr>
        <w:t xml:space="preserve"> sustainable research base</w:t>
      </w:r>
    </w:p>
    <w:p w14:paraId="6DE72762" w14:textId="77777777" w:rsidR="00B20839" w:rsidRPr="00133CFB" w:rsidRDefault="00AF7165" w:rsidP="008115DE">
      <w:pPr>
        <w:pStyle w:val="ListParagraph"/>
        <w:numPr>
          <w:ilvl w:val="0"/>
          <w:numId w:val="19"/>
        </w:numPr>
        <w:spacing w:after="160" w:line="259" w:lineRule="auto"/>
        <w:rPr>
          <w:rFonts w:ascii="Arial" w:hAnsi="Arial" w:cs="Arial"/>
          <w:sz w:val="24"/>
          <w:szCs w:val="24"/>
        </w:rPr>
      </w:pPr>
      <w:r>
        <w:rPr>
          <w:rFonts w:ascii="Arial" w:hAnsi="Arial" w:cs="Arial"/>
          <w:sz w:val="24"/>
          <w:szCs w:val="24"/>
        </w:rPr>
        <w:t>t</w:t>
      </w:r>
      <w:r w:rsidR="004667B2">
        <w:rPr>
          <w:rFonts w:ascii="Arial" w:hAnsi="Arial" w:cs="Arial"/>
          <w:sz w:val="24"/>
          <w:szCs w:val="24"/>
        </w:rPr>
        <w:t>he d</w:t>
      </w:r>
      <w:r w:rsidR="00166B9B">
        <w:rPr>
          <w:rFonts w:ascii="Arial" w:hAnsi="Arial" w:cs="Arial"/>
          <w:sz w:val="24"/>
          <w:szCs w:val="24"/>
        </w:rPr>
        <w:t>isability reform agenda draws</w:t>
      </w:r>
      <w:r w:rsidR="00B20839" w:rsidRPr="00133CFB">
        <w:rPr>
          <w:rFonts w:ascii="Arial" w:hAnsi="Arial" w:cs="Arial"/>
          <w:sz w:val="24"/>
          <w:szCs w:val="24"/>
        </w:rPr>
        <w:t xml:space="preserve"> heavily on human rights and social equity principles</w:t>
      </w:r>
      <w:r w:rsidR="00611F24">
        <w:rPr>
          <w:rFonts w:ascii="Arial" w:hAnsi="Arial" w:cs="Arial"/>
          <w:sz w:val="24"/>
          <w:szCs w:val="24"/>
        </w:rPr>
        <w:t>,</w:t>
      </w:r>
      <w:r w:rsidR="00B20839" w:rsidRPr="00133CFB">
        <w:rPr>
          <w:rFonts w:ascii="Arial" w:hAnsi="Arial" w:cs="Arial"/>
          <w:sz w:val="24"/>
          <w:szCs w:val="24"/>
        </w:rPr>
        <w:t xml:space="preserve"> with a values base about choice and control, empowerment, and person-centred support</w:t>
      </w:r>
    </w:p>
    <w:p w14:paraId="57DECA2B" w14:textId="77777777" w:rsidR="00B20839" w:rsidRPr="00133CFB" w:rsidRDefault="00AF7165" w:rsidP="008115DE">
      <w:pPr>
        <w:pStyle w:val="ListParagraph"/>
        <w:numPr>
          <w:ilvl w:val="0"/>
          <w:numId w:val="19"/>
        </w:numPr>
        <w:spacing w:after="160" w:line="259" w:lineRule="auto"/>
        <w:rPr>
          <w:rFonts w:ascii="Arial" w:hAnsi="Arial" w:cs="Arial"/>
          <w:sz w:val="24"/>
          <w:szCs w:val="24"/>
        </w:rPr>
      </w:pPr>
      <w:r>
        <w:rPr>
          <w:rFonts w:ascii="Arial" w:hAnsi="Arial" w:cs="Arial"/>
          <w:sz w:val="24"/>
          <w:szCs w:val="24"/>
        </w:rPr>
        <w:t>m</w:t>
      </w:r>
      <w:r w:rsidR="004667B2">
        <w:rPr>
          <w:rFonts w:ascii="Arial" w:hAnsi="Arial" w:cs="Arial"/>
          <w:sz w:val="24"/>
          <w:szCs w:val="24"/>
        </w:rPr>
        <w:t>ost</w:t>
      </w:r>
      <w:r w:rsidR="00B20839" w:rsidRPr="00133CFB">
        <w:rPr>
          <w:rFonts w:ascii="Arial" w:hAnsi="Arial" w:cs="Arial"/>
          <w:sz w:val="24"/>
          <w:szCs w:val="24"/>
        </w:rPr>
        <w:t xml:space="preserve"> research does not address</w:t>
      </w:r>
      <w:r w:rsidR="00611F24">
        <w:rPr>
          <w:rFonts w:ascii="Arial" w:hAnsi="Arial" w:cs="Arial"/>
          <w:sz w:val="24"/>
          <w:szCs w:val="24"/>
        </w:rPr>
        <w:t xml:space="preserve"> </w:t>
      </w:r>
      <w:r w:rsidR="00B20839" w:rsidRPr="00133CFB">
        <w:rPr>
          <w:rFonts w:ascii="Arial" w:hAnsi="Arial" w:cs="Arial"/>
          <w:sz w:val="24"/>
          <w:szCs w:val="24"/>
        </w:rPr>
        <w:t xml:space="preserve">disadvantaged groups </w:t>
      </w:r>
    </w:p>
    <w:p w14:paraId="18FEBF4C" w14:textId="77777777" w:rsidR="00B20839" w:rsidRPr="00133CFB" w:rsidRDefault="00143028" w:rsidP="008115DE">
      <w:pPr>
        <w:pStyle w:val="ListParagraph"/>
        <w:numPr>
          <w:ilvl w:val="0"/>
          <w:numId w:val="19"/>
        </w:numPr>
        <w:spacing w:after="160" w:line="259" w:lineRule="auto"/>
        <w:rPr>
          <w:rFonts w:ascii="Arial" w:hAnsi="Arial" w:cs="Arial"/>
          <w:sz w:val="24"/>
          <w:szCs w:val="24"/>
        </w:rPr>
      </w:pPr>
      <w:r>
        <w:rPr>
          <w:rFonts w:ascii="Arial" w:hAnsi="Arial" w:cs="Arial"/>
          <w:sz w:val="24"/>
          <w:szCs w:val="24"/>
        </w:rPr>
        <w:t>a</w:t>
      </w:r>
      <w:r w:rsidR="00166B9B">
        <w:rPr>
          <w:rFonts w:ascii="Arial" w:hAnsi="Arial" w:cs="Arial"/>
          <w:sz w:val="24"/>
          <w:szCs w:val="24"/>
        </w:rPr>
        <w:t xml:space="preserve"> high</w:t>
      </w:r>
      <w:r w:rsidR="00B20839" w:rsidRPr="00133CFB">
        <w:rPr>
          <w:rFonts w:ascii="Arial" w:hAnsi="Arial" w:cs="Arial"/>
          <w:sz w:val="24"/>
          <w:szCs w:val="24"/>
        </w:rPr>
        <w:t xml:space="preserve"> proportion of study designs essentially describe ‘the problem’ rather than fo</w:t>
      </w:r>
      <w:r w:rsidR="00611F24">
        <w:rPr>
          <w:rFonts w:ascii="Arial" w:hAnsi="Arial" w:cs="Arial"/>
          <w:sz w:val="24"/>
          <w:szCs w:val="24"/>
        </w:rPr>
        <w:t>cus</w:t>
      </w:r>
      <w:r w:rsidR="004667B2">
        <w:rPr>
          <w:rFonts w:ascii="Arial" w:hAnsi="Arial" w:cs="Arial"/>
          <w:sz w:val="24"/>
          <w:szCs w:val="24"/>
        </w:rPr>
        <w:t>ing</w:t>
      </w:r>
      <w:r w:rsidR="00611F24">
        <w:rPr>
          <w:rFonts w:ascii="Arial" w:hAnsi="Arial" w:cs="Arial"/>
          <w:sz w:val="24"/>
          <w:szCs w:val="24"/>
        </w:rPr>
        <w:t xml:space="preserve"> on evidence-based solutions</w:t>
      </w:r>
      <w:r w:rsidR="00B20839" w:rsidRPr="00133CFB">
        <w:rPr>
          <w:rFonts w:ascii="Arial" w:hAnsi="Arial" w:cs="Arial"/>
          <w:sz w:val="24"/>
          <w:szCs w:val="24"/>
        </w:rPr>
        <w:t xml:space="preserve"> </w:t>
      </w:r>
    </w:p>
    <w:p w14:paraId="7FFD7AC2" w14:textId="77777777" w:rsidR="00B20839" w:rsidRDefault="00143028" w:rsidP="008115DE">
      <w:pPr>
        <w:pStyle w:val="ListParagraph"/>
        <w:numPr>
          <w:ilvl w:val="0"/>
          <w:numId w:val="19"/>
        </w:numPr>
        <w:spacing w:after="160" w:line="259" w:lineRule="auto"/>
        <w:rPr>
          <w:rFonts w:ascii="Arial" w:hAnsi="Arial" w:cs="Arial"/>
          <w:sz w:val="24"/>
          <w:szCs w:val="24"/>
        </w:rPr>
      </w:pPr>
      <w:r>
        <w:rPr>
          <w:rFonts w:ascii="Arial" w:hAnsi="Arial" w:cs="Arial"/>
          <w:sz w:val="24"/>
          <w:szCs w:val="24"/>
        </w:rPr>
        <w:t>e</w:t>
      </w:r>
      <w:r w:rsidR="00B20839" w:rsidRPr="00133CFB">
        <w:rPr>
          <w:rFonts w:ascii="Arial" w:hAnsi="Arial" w:cs="Arial"/>
          <w:sz w:val="24"/>
          <w:szCs w:val="24"/>
        </w:rPr>
        <w:t>xperiences of people with disability as users of specialist and mainstream services are under-represented in</w:t>
      </w:r>
      <w:r w:rsidR="004667B2">
        <w:rPr>
          <w:rFonts w:ascii="Arial" w:hAnsi="Arial" w:cs="Arial"/>
          <w:sz w:val="24"/>
          <w:szCs w:val="24"/>
        </w:rPr>
        <w:t xml:space="preserve"> the</w:t>
      </w:r>
      <w:r w:rsidR="00B20839" w:rsidRPr="00133CFB">
        <w:rPr>
          <w:rFonts w:ascii="Arial" w:hAnsi="Arial" w:cs="Arial"/>
          <w:sz w:val="24"/>
          <w:szCs w:val="24"/>
        </w:rPr>
        <w:t xml:space="preserve"> research evidence base</w:t>
      </w:r>
      <w:r w:rsidR="00611F24">
        <w:rPr>
          <w:rFonts w:ascii="Arial" w:hAnsi="Arial" w:cs="Arial"/>
          <w:sz w:val="24"/>
          <w:szCs w:val="24"/>
        </w:rPr>
        <w:t>.</w:t>
      </w:r>
    </w:p>
    <w:p w14:paraId="3A5B4E80" w14:textId="77777777" w:rsidR="00B15960" w:rsidRPr="00B15960" w:rsidRDefault="00B15960" w:rsidP="00B15960">
      <w:pPr>
        <w:spacing w:after="160" w:line="259" w:lineRule="auto"/>
        <w:rPr>
          <w:rFonts w:ascii="Arial" w:hAnsi="Arial" w:cs="Arial"/>
          <w:sz w:val="24"/>
          <w:szCs w:val="24"/>
        </w:rPr>
      </w:pPr>
      <w:r w:rsidRPr="00B15960">
        <w:rPr>
          <w:rFonts w:ascii="Arial" w:hAnsi="Arial" w:cs="Arial"/>
          <w:sz w:val="24"/>
          <w:szCs w:val="24"/>
        </w:rPr>
        <w:t>NDS is committed to increasing the research capacity of the sector through initiatives such as the Centre for Applied Disability Research.</w:t>
      </w:r>
    </w:p>
    <w:p w14:paraId="5BDF5F3D" w14:textId="77777777" w:rsidR="00B15960" w:rsidRPr="00B15960" w:rsidRDefault="00B15960" w:rsidP="00B15960">
      <w:pPr>
        <w:spacing w:after="160" w:line="259" w:lineRule="auto"/>
        <w:rPr>
          <w:rFonts w:ascii="Arial" w:hAnsi="Arial" w:cs="Arial"/>
          <w:sz w:val="24"/>
          <w:szCs w:val="24"/>
        </w:rPr>
      </w:pPr>
      <w:r w:rsidRPr="00B15960">
        <w:rPr>
          <w:rFonts w:ascii="Arial" w:hAnsi="Arial" w:cs="Arial"/>
          <w:sz w:val="24"/>
          <w:szCs w:val="24"/>
        </w:rPr>
        <w:br w:type="page"/>
      </w:r>
    </w:p>
    <w:p w14:paraId="23557FBA" w14:textId="77777777" w:rsidR="00511311" w:rsidRDefault="00511311" w:rsidP="00143028">
      <w:pPr>
        <w:pStyle w:val="Heading1"/>
      </w:pPr>
      <w:bookmarkStart w:id="280" w:name="_Toc405797904"/>
      <w:r w:rsidRPr="00133CFB">
        <w:lastRenderedPageBreak/>
        <w:t>Conclusions</w:t>
      </w:r>
      <w:bookmarkEnd w:id="280"/>
    </w:p>
    <w:p w14:paraId="2211D0DF" w14:textId="77777777" w:rsidR="002A4594" w:rsidRPr="002A4594" w:rsidRDefault="002A4594" w:rsidP="002A4594">
      <w:pPr>
        <w:rPr>
          <w:rFonts w:ascii="Arial" w:hAnsi="Arial" w:cs="Arial"/>
          <w:sz w:val="24"/>
          <w:szCs w:val="24"/>
        </w:rPr>
      </w:pPr>
      <w:r w:rsidRPr="002A4594">
        <w:rPr>
          <w:rFonts w:ascii="Arial" w:hAnsi="Arial" w:cs="Arial"/>
          <w:sz w:val="24"/>
          <w:szCs w:val="24"/>
        </w:rPr>
        <w:t>The resilience of disability service providers has been tested over the past year. Ambitious reforms, a tight fiscal environment, rigid program rules and uncertainty about wage setting in supported employment make for a complex operating environment.</w:t>
      </w:r>
    </w:p>
    <w:p w14:paraId="2086CDBC" w14:textId="77777777" w:rsidR="002A4594" w:rsidRPr="002A4594" w:rsidRDefault="002A4594" w:rsidP="002A4594">
      <w:pPr>
        <w:rPr>
          <w:rFonts w:ascii="Arial" w:hAnsi="Arial" w:cs="Arial"/>
          <w:sz w:val="24"/>
          <w:szCs w:val="24"/>
        </w:rPr>
      </w:pPr>
      <w:r w:rsidRPr="002A4594">
        <w:rPr>
          <w:rFonts w:ascii="Arial" w:hAnsi="Arial" w:cs="Arial"/>
          <w:sz w:val="24"/>
          <w:szCs w:val="24"/>
        </w:rPr>
        <w:t>The B</w:t>
      </w:r>
      <w:r w:rsidR="00B00121">
        <w:rPr>
          <w:rFonts w:ascii="Arial" w:hAnsi="Arial" w:cs="Arial"/>
          <w:sz w:val="24"/>
          <w:szCs w:val="24"/>
        </w:rPr>
        <w:t xml:space="preserve">usiness Confidence </w:t>
      </w:r>
      <w:r w:rsidR="00320AC7">
        <w:rPr>
          <w:rFonts w:ascii="Arial" w:hAnsi="Arial" w:cs="Arial"/>
          <w:sz w:val="24"/>
          <w:szCs w:val="24"/>
        </w:rPr>
        <w:t>Survey</w:t>
      </w:r>
      <w:r w:rsidRPr="002A4594">
        <w:rPr>
          <w:rFonts w:ascii="Arial" w:hAnsi="Arial" w:cs="Arial"/>
          <w:sz w:val="24"/>
          <w:szCs w:val="24"/>
        </w:rPr>
        <w:t xml:space="preserve"> </w:t>
      </w:r>
      <w:r w:rsidR="00320AC7">
        <w:rPr>
          <w:rFonts w:ascii="Arial" w:hAnsi="Arial" w:cs="Arial"/>
          <w:sz w:val="24"/>
          <w:szCs w:val="24"/>
        </w:rPr>
        <w:t xml:space="preserve">findings </w:t>
      </w:r>
      <w:r w:rsidRPr="002A4594">
        <w:rPr>
          <w:rFonts w:ascii="Arial" w:hAnsi="Arial" w:cs="Arial"/>
          <w:sz w:val="24"/>
          <w:szCs w:val="24"/>
        </w:rPr>
        <w:t xml:space="preserve">indicate that the sector is rising to the challenge, but it’s not easy. While there is broad support for the direction of disability reforms, the map is unclear and the journey can be daunting. </w:t>
      </w:r>
    </w:p>
    <w:p w14:paraId="6E8F6D27" w14:textId="77777777" w:rsidR="002A4594" w:rsidRPr="002A4594" w:rsidRDefault="00B00121" w:rsidP="00320AC7">
      <w:pPr>
        <w:ind w:left="720"/>
        <w:rPr>
          <w:rFonts w:ascii="Arial" w:hAnsi="Arial" w:cs="Arial"/>
          <w:sz w:val="24"/>
          <w:szCs w:val="24"/>
        </w:rPr>
      </w:pPr>
      <w:r>
        <w:rPr>
          <w:rFonts w:ascii="Arial" w:hAnsi="Arial" w:cs="Arial"/>
          <w:sz w:val="24"/>
          <w:szCs w:val="24"/>
        </w:rPr>
        <w:t>“</w:t>
      </w:r>
      <w:r w:rsidRPr="002A4594">
        <w:rPr>
          <w:rFonts w:ascii="Arial" w:hAnsi="Arial" w:cs="Arial"/>
          <w:sz w:val="24"/>
          <w:szCs w:val="24"/>
        </w:rPr>
        <w:t>Uncertainty</w:t>
      </w:r>
      <w:r w:rsidR="002A4594" w:rsidRPr="002A4594">
        <w:rPr>
          <w:rFonts w:ascii="Arial" w:hAnsi="Arial" w:cs="Arial"/>
          <w:sz w:val="24"/>
          <w:szCs w:val="24"/>
        </w:rPr>
        <w:t xml:space="preserve"> is an ine</w:t>
      </w:r>
      <w:r>
        <w:rPr>
          <w:rFonts w:ascii="Arial" w:hAnsi="Arial" w:cs="Arial"/>
          <w:sz w:val="24"/>
          <w:szCs w:val="24"/>
        </w:rPr>
        <w:t xml:space="preserve">vitable product of change </w:t>
      </w:r>
      <w:r w:rsidR="00143028">
        <w:rPr>
          <w:rFonts w:ascii="Arial" w:hAnsi="Arial" w:cs="Arial"/>
          <w:sz w:val="24"/>
          <w:szCs w:val="24"/>
        </w:rPr>
        <w:t>and</w:t>
      </w:r>
      <w:r w:rsidR="002A4594" w:rsidRPr="002A4594">
        <w:rPr>
          <w:rFonts w:ascii="Arial" w:hAnsi="Arial" w:cs="Arial"/>
          <w:sz w:val="24"/>
          <w:szCs w:val="24"/>
        </w:rPr>
        <w:t xml:space="preserve"> a road under construction is better than a sealed highway that heads in the wrong direction. But greater clarity is required soon to enable service providers to plan and prepare for the new world ahead</w:t>
      </w:r>
      <w:r>
        <w:rPr>
          <w:rFonts w:ascii="Arial" w:hAnsi="Arial" w:cs="Arial"/>
          <w:sz w:val="24"/>
          <w:szCs w:val="24"/>
        </w:rPr>
        <w:t>”</w:t>
      </w:r>
      <w:r w:rsidR="002972B6">
        <w:rPr>
          <w:rFonts w:ascii="Arial" w:hAnsi="Arial" w:cs="Arial"/>
          <w:sz w:val="24"/>
          <w:szCs w:val="24"/>
        </w:rPr>
        <w:t xml:space="preserve"> –</w:t>
      </w:r>
      <w:r w:rsidR="002A4594" w:rsidRPr="002A4594">
        <w:rPr>
          <w:rFonts w:ascii="Arial" w:hAnsi="Arial" w:cs="Arial"/>
          <w:sz w:val="24"/>
          <w:szCs w:val="24"/>
        </w:rPr>
        <w:t xml:space="preserve"> </w:t>
      </w:r>
      <w:r>
        <w:rPr>
          <w:rFonts w:ascii="Arial" w:hAnsi="Arial" w:cs="Arial"/>
          <w:sz w:val="24"/>
          <w:szCs w:val="24"/>
        </w:rPr>
        <w:t>Ken Baker</w:t>
      </w:r>
      <w:r w:rsidR="002972B6">
        <w:rPr>
          <w:rFonts w:ascii="Arial" w:hAnsi="Arial" w:cs="Arial"/>
          <w:sz w:val="24"/>
          <w:szCs w:val="24"/>
        </w:rPr>
        <w:t>,</w:t>
      </w:r>
      <w:r>
        <w:rPr>
          <w:rFonts w:ascii="Arial" w:hAnsi="Arial" w:cs="Arial"/>
          <w:sz w:val="24"/>
          <w:szCs w:val="24"/>
        </w:rPr>
        <w:t xml:space="preserve"> NDS Chief Executive</w:t>
      </w:r>
    </w:p>
    <w:p w14:paraId="0F5B526E" w14:textId="77777777" w:rsidR="002A4594" w:rsidRPr="002A4594" w:rsidRDefault="002A4594" w:rsidP="002A4594">
      <w:pPr>
        <w:rPr>
          <w:rFonts w:ascii="Arial" w:hAnsi="Arial" w:cs="Arial"/>
          <w:sz w:val="24"/>
          <w:szCs w:val="24"/>
        </w:rPr>
      </w:pPr>
      <w:r w:rsidRPr="002A4594">
        <w:rPr>
          <w:rFonts w:ascii="Arial" w:hAnsi="Arial" w:cs="Arial"/>
          <w:sz w:val="24"/>
          <w:szCs w:val="24"/>
        </w:rPr>
        <w:t>In expanding and renovating the disability support system, no one has a monopoly of knowledge or know-how.</w:t>
      </w:r>
      <w:r w:rsidR="00AF7165">
        <w:rPr>
          <w:rFonts w:ascii="Arial" w:hAnsi="Arial" w:cs="Arial"/>
          <w:sz w:val="24"/>
          <w:szCs w:val="24"/>
        </w:rPr>
        <w:t xml:space="preserve"> </w:t>
      </w:r>
      <w:r w:rsidRPr="002A4594">
        <w:rPr>
          <w:rFonts w:ascii="Arial" w:hAnsi="Arial" w:cs="Arial"/>
          <w:sz w:val="24"/>
          <w:szCs w:val="24"/>
        </w:rPr>
        <w:t>All stakeholders – including service providers, people with disability, their families and carers</w:t>
      </w:r>
      <w:r w:rsidR="00320AC7">
        <w:rPr>
          <w:rFonts w:ascii="Arial" w:hAnsi="Arial" w:cs="Arial"/>
          <w:sz w:val="24"/>
          <w:szCs w:val="24"/>
        </w:rPr>
        <w:t>,</w:t>
      </w:r>
      <w:r w:rsidRPr="002A4594">
        <w:rPr>
          <w:rFonts w:ascii="Arial" w:hAnsi="Arial" w:cs="Arial"/>
          <w:sz w:val="24"/>
          <w:szCs w:val="24"/>
        </w:rPr>
        <w:t xml:space="preserve"> and governments </w:t>
      </w:r>
      <w:r w:rsidR="00AF7165">
        <w:rPr>
          <w:rFonts w:ascii="Arial" w:hAnsi="Arial" w:cs="Arial"/>
          <w:sz w:val="24"/>
          <w:szCs w:val="24"/>
        </w:rPr>
        <w:t>–</w:t>
      </w:r>
      <w:r w:rsidRPr="002A4594">
        <w:rPr>
          <w:rFonts w:ascii="Arial" w:hAnsi="Arial" w:cs="Arial"/>
          <w:sz w:val="24"/>
          <w:szCs w:val="24"/>
        </w:rPr>
        <w:t xml:space="preserve"> deserve to be listened to (although not uncritically) if reform is to produce the benefits we all seek. </w:t>
      </w:r>
    </w:p>
    <w:p w14:paraId="3D75F0BF" w14:textId="77777777" w:rsidR="002A4594" w:rsidRPr="002A4594" w:rsidRDefault="002A4594" w:rsidP="002A4594">
      <w:pPr>
        <w:rPr>
          <w:rFonts w:ascii="Arial" w:hAnsi="Arial" w:cs="Arial"/>
          <w:sz w:val="24"/>
          <w:szCs w:val="24"/>
        </w:rPr>
      </w:pPr>
      <w:r w:rsidRPr="002A4594">
        <w:rPr>
          <w:rFonts w:ascii="Arial" w:hAnsi="Arial" w:cs="Arial"/>
          <w:sz w:val="24"/>
          <w:szCs w:val="24"/>
        </w:rPr>
        <w:t xml:space="preserve">Over coming years, we can expect to hear concepts associated with markets and competition increasingly applied to community services. There is some sense in this, but government should proceed cautiously with the expansion of contestability in disability services. Once lost, the social capital created by not-for-profit organisations is hard to replace. Moreover, ‘market forces’ need to be managed if people with complex needs, who are often the most vulnerable, are to be assured of getting the support they need.  </w:t>
      </w:r>
    </w:p>
    <w:p w14:paraId="70A19E5C" w14:textId="77777777" w:rsidR="009031AC" w:rsidRPr="00BE4BD9" w:rsidRDefault="002A4594" w:rsidP="002A4594">
      <w:pPr>
        <w:rPr>
          <w:color w:val="FF0000"/>
        </w:rPr>
      </w:pPr>
      <w:r w:rsidRPr="002A4594">
        <w:rPr>
          <w:rFonts w:ascii="Arial" w:hAnsi="Arial" w:cs="Arial"/>
          <w:sz w:val="24"/>
          <w:szCs w:val="24"/>
        </w:rPr>
        <w:t>This report, underpinned by research, is one way in which NDS assists members to prepare for the future. In the year ahead, NDS will also continue to</w:t>
      </w:r>
      <w:r w:rsidR="002972B6">
        <w:rPr>
          <w:rFonts w:ascii="Arial" w:hAnsi="Arial" w:cs="Arial"/>
          <w:sz w:val="24"/>
          <w:szCs w:val="24"/>
        </w:rPr>
        <w:t xml:space="preserve"> </w:t>
      </w:r>
      <w:r w:rsidRPr="002A4594">
        <w:rPr>
          <w:rFonts w:ascii="Arial" w:hAnsi="Arial" w:cs="Arial"/>
          <w:sz w:val="24"/>
          <w:szCs w:val="24"/>
        </w:rPr>
        <w:t>influence public policy, seeking to ensure that it is based o</w:t>
      </w:r>
      <w:r w:rsidR="00320AC7">
        <w:rPr>
          <w:rFonts w:ascii="Arial" w:hAnsi="Arial" w:cs="Arial"/>
          <w:sz w:val="24"/>
          <w:szCs w:val="24"/>
        </w:rPr>
        <w:t>n sound principles and practice</w:t>
      </w:r>
      <w:r w:rsidRPr="002A4594">
        <w:rPr>
          <w:rFonts w:ascii="Arial" w:hAnsi="Arial" w:cs="Arial"/>
          <w:sz w:val="24"/>
          <w:szCs w:val="24"/>
        </w:rPr>
        <w:t xml:space="preserve">; </w:t>
      </w:r>
      <w:r w:rsidR="00320AC7">
        <w:rPr>
          <w:rFonts w:ascii="Arial" w:hAnsi="Arial" w:cs="Arial"/>
          <w:sz w:val="24"/>
          <w:szCs w:val="24"/>
        </w:rPr>
        <w:t xml:space="preserve">to </w:t>
      </w:r>
      <w:r w:rsidRPr="002A4594">
        <w:rPr>
          <w:rFonts w:ascii="Arial" w:hAnsi="Arial" w:cs="Arial"/>
          <w:sz w:val="24"/>
          <w:szCs w:val="24"/>
        </w:rPr>
        <w:t xml:space="preserve">provide information to members and feedback from members to government; create opportunities for members to network and share their </w:t>
      </w:r>
      <w:r w:rsidRPr="00B00121">
        <w:rPr>
          <w:rFonts w:ascii="Arial" w:hAnsi="Arial" w:cs="Arial"/>
          <w:sz w:val="24"/>
          <w:szCs w:val="24"/>
        </w:rPr>
        <w:t>experience and expertise; and generate practical resources to assist organisations to operate more effectively.</w:t>
      </w:r>
    </w:p>
    <w:sectPr w:rsidR="009031AC" w:rsidRPr="00BE4BD9" w:rsidSect="00CD7F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17351" w14:textId="77777777" w:rsidR="00801EBF" w:rsidRDefault="00801EBF" w:rsidP="00B3266C">
      <w:pPr>
        <w:spacing w:after="0" w:line="240" w:lineRule="auto"/>
      </w:pPr>
      <w:r>
        <w:separator/>
      </w:r>
    </w:p>
  </w:endnote>
  <w:endnote w:type="continuationSeparator" w:id="0">
    <w:p w14:paraId="013F5DC0" w14:textId="77777777" w:rsidR="00801EBF" w:rsidRDefault="00801EBF" w:rsidP="00B3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927542"/>
      <w:docPartObj>
        <w:docPartGallery w:val="Page Numbers (Bottom of Page)"/>
        <w:docPartUnique/>
      </w:docPartObj>
    </w:sdtPr>
    <w:sdtEndPr>
      <w:rPr>
        <w:noProof/>
      </w:rPr>
    </w:sdtEndPr>
    <w:sdtContent>
      <w:p w14:paraId="4729555F" w14:textId="18FADD52" w:rsidR="00801EBF" w:rsidRDefault="00801EBF">
        <w:pPr>
          <w:pStyle w:val="Footer"/>
        </w:pPr>
        <w:r>
          <w:fldChar w:fldCharType="begin"/>
        </w:r>
        <w:r>
          <w:instrText xml:space="preserve"> PAGE   \* MERGEFORMAT </w:instrText>
        </w:r>
        <w:r>
          <w:fldChar w:fldCharType="separate"/>
        </w:r>
        <w:r w:rsidR="0014361A">
          <w:rPr>
            <w:noProof/>
          </w:rPr>
          <w:t>2</w:t>
        </w:r>
        <w:r>
          <w:rPr>
            <w:noProof/>
          </w:rPr>
          <w:fldChar w:fldCharType="end"/>
        </w:r>
      </w:p>
    </w:sdtContent>
  </w:sdt>
  <w:p w14:paraId="17BCFDCC" w14:textId="77777777" w:rsidR="00801EBF" w:rsidRPr="00D16346" w:rsidRDefault="00801EBF" w:rsidP="00D1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D48A" w14:textId="77777777" w:rsidR="00801EBF" w:rsidRDefault="00801EBF" w:rsidP="00B3266C">
      <w:pPr>
        <w:spacing w:after="0" w:line="240" w:lineRule="auto"/>
      </w:pPr>
      <w:r>
        <w:separator/>
      </w:r>
    </w:p>
  </w:footnote>
  <w:footnote w:type="continuationSeparator" w:id="0">
    <w:p w14:paraId="375F3EAC" w14:textId="77777777" w:rsidR="00801EBF" w:rsidRDefault="00801EBF" w:rsidP="00B32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92"/>
    <w:multiLevelType w:val="multilevel"/>
    <w:tmpl w:val="F0DCF036"/>
    <w:lvl w:ilvl="0">
      <w:start w:val="3"/>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9B4776A"/>
    <w:multiLevelType w:val="hybridMultilevel"/>
    <w:tmpl w:val="DE343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D43898"/>
    <w:multiLevelType w:val="hybridMultilevel"/>
    <w:tmpl w:val="765E8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4572C7"/>
    <w:multiLevelType w:val="hybridMultilevel"/>
    <w:tmpl w:val="2C9A9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80BB2"/>
    <w:multiLevelType w:val="hybridMultilevel"/>
    <w:tmpl w:val="97F894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EE1912"/>
    <w:multiLevelType w:val="hybridMultilevel"/>
    <w:tmpl w:val="DD4E7D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2538AB"/>
    <w:multiLevelType w:val="hybridMultilevel"/>
    <w:tmpl w:val="57524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441C55"/>
    <w:multiLevelType w:val="hybridMultilevel"/>
    <w:tmpl w:val="91D4E338"/>
    <w:lvl w:ilvl="0" w:tplc="0C090001">
      <w:start w:val="1"/>
      <w:numFmt w:val="bullet"/>
      <w:lvlText w:val=""/>
      <w:lvlJc w:val="left"/>
      <w:pPr>
        <w:ind w:left="720" w:hanging="360"/>
      </w:pPr>
      <w:rPr>
        <w:rFonts w:ascii="Symbol" w:hAnsi="Symbol" w:hint="default"/>
      </w:rPr>
    </w:lvl>
    <w:lvl w:ilvl="1" w:tplc="657474D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D44E3"/>
    <w:multiLevelType w:val="hybridMultilevel"/>
    <w:tmpl w:val="FB520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B6F7B"/>
    <w:multiLevelType w:val="hybridMultilevel"/>
    <w:tmpl w:val="0720A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265759"/>
    <w:multiLevelType w:val="hybridMultilevel"/>
    <w:tmpl w:val="882EBBA4"/>
    <w:lvl w:ilvl="0" w:tplc="04090001">
      <w:start w:val="1"/>
      <w:numFmt w:val="bullet"/>
      <w:lvlText w:val=""/>
      <w:lvlJc w:val="left"/>
      <w:pPr>
        <w:ind w:left="786" w:hanging="360"/>
      </w:pPr>
      <w:rPr>
        <w:rFonts w:ascii="Symbol" w:hAnsi="Symbol" w:hint="default"/>
      </w:rPr>
    </w:lvl>
    <w:lvl w:ilvl="1" w:tplc="0C090001">
      <w:start w:val="1"/>
      <w:numFmt w:val="bullet"/>
      <w:lvlText w:val=""/>
      <w:lvlJc w:val="left"/>
      <w:pPr>
        <w:ind w:left="1506" w:hanging="360"/>
      </w:pPr>
      <w:rPr>
        <w:rFonts w:ascii="Symbol" w:hAnsi="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1BB64D1F"/>
    <w:multiLevelType w:val="hybridMultilevel"/>
    <w:tmpl w:val="C2946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A64BC4"/>
    <w:multiLevelType w:val="hybridMultilevel"/>
    <w:tmpl w:val="B74C8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1D435D"/>
    <w:multiLevelType w:val="hybridMultilevel"/>
    <w:tmpl w:val="38707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A3048E"/>
    <w:multiLevelType w:val="hybridMultilevel"/>
    <w:tmpl w:val="EC8EC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4A0723"/>
    <w:multiLevelType w:val="hybridMultilevel"/>
    <w:tmpl w:val="F3C0B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04266F"/>
    <w:multiLevelType w:val="hybridMultilevel"/>
    <w:tmpl w:val="4BD6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1A739C"/>
    <w:multiLevelType w:val="hybridMultilevel"/>
    <w:tmpl w:val="E34C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3B69B1"/>
    <w:multiLevelType w:val="hybridMultilevel"/>
    <w:tmpl w:val="D35C0A98"/>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921C87"/>
    <w:multiLevelType w:val="hybridMultilevel"/>
    <w:tmpl w:val="3A6A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6961EA"/>
    <w:multiLevelType w:val="hybridMultilevel"/>
    <w:tmpl w:val="508C6E48"/>
    <w:lvl w:ilvl="0" w:tplc="04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2053EE"/>
    <w:multiLevelType w:val="hybridMultilevel"/>
    <w:tmpl w:val="31CCDE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5D42511"/>
    <w:multiLevelType w:val="hybridMultilevel"/>
    <w:tmpl w:val="91A8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9450F1"/>
    <w:multiLevelType w:val="hybridMultilevel"/>
    <w:tmpl w:val="0038A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A141FA"/>
    <w:multiLevelType w:val="hybridMultilevel"/>
    <w:tmpl w:val="7534CD78"/>
    <w:lvl w:ilvl="0" w:tplc="04090001">
      <w:start w:val="1"/>
      <w:numFmt w:val="bullet"/>
      <w:lvlText w:val=""/>
      <w:lvlJc w:val="left"/>
      <w:pPr>
        <w:ind w:left="786" w:hanging="360"/>
      </w:pPr>
      <w:rPr>
        <w:rFonts w:ascii="Symbol" w:hAnsi="Symbol" w:hint="default"/>
      </w:rPr>
    </w:lvl>
    <w:lvl w:ilvl="1" w:tplc="EEF84836">
      <w:start w:val="1"/>
      <w:numFmt w:val="bullet"/>
      <w:pStyle w:val="List2ndlevel"/>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47E55B35"/>
    <w:multiLevelType w:val="hybridMultilevel"/>
    <w:tmpl w:val="52FACE6C"/>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9F3419"/>
    <w:multiLevelType w:val="hybridMultilevel"/>
    <w:tmpl w:val="58309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E65A1A"/>
    <w:multiLevelType w:val="hybridMultilevel"/>
    <w:tmpl w:val="C5F4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A2AAA"/>
    <w:multiLevelType w:val="hybridMultilevel"/>
    <w:tmpl w:val="F0E07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267142"/>
    <w:multiLevelType w:val="hybridMultilevel"/>
    <w:tmpl w:val="77625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504C01"/>
    <w:multiLevelType w:val="hybridMultilevel"/>
    <w:tmpl w:val="3098BA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5E622FF"/>
    <w:multiLevelType w:val="hybridMultilevel"/>
    <w:tmpl w:val="94F89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7E6D8C"/>
    <w:multiLevelType w:val="hybridMultilevel"/>
    <w:tmpl w:val="EA1A7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5C75B9"/>
    <w:multiLevelType w:val="hybridMultilevel"/>
    <w:tmpl w:val="F586E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6C72A7"/>
    <w:multiLevelType w:val="hybridMultilevel"/>
    <w:tmpl w:val="7D28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40BB3"/>
    <w:multiLevelType w:val="hybridMultilevel"/>
    <w:tmpl w:val="00D4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DC5B41"/>
    <w:multiLevelType w:val="hybridMultilevel"/>
    <w:tmpl w:val="9BD01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457B38"/>
    <w:multiLevelType w:val="hybridMultilevel"/>
    <w:tmpl w:val="D2405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434FF0"/>
    <w:multiLevelType w:val="hybridMultilevel"/>
    <w:tmpl w:val="E852591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3E21553"/>
    <w:multiLevelType w:val="hybridMultilevel"/>
    <w:tmpl w:val="B1409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538714D"/>
    <w:multiLevelType w:val="hybridMultilevel"/>
    <w:tmpl w:val="ED58F2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A3135D0"/>
    <w:multiLevelType w:val="hybridMultilevel"/>
    <w:tmpl w:val="8834B8D4"/>
    <w:lvl w:ilvl="0" w:tplc="0C090001">
      <w:start w:val="1"/>
      <w:numFmt w:val="bullet"/>
      <w:lvlText w:val=""/>
      <w:lvlJc w:val="left"/>
      <w:pPr>
        <w:ind w:left="786" w:hanging="360"/>
      </w:pPr>
      <w:rPr>
        <w:rFonts w:ascii="Symbol" w:hAnsi="Symbol" w:hint="default"/>
      </w:rPr>
    </w:lvl>
    <w:lvl w:ilvl="1" w:tplc="0C090001">
      <w:start w:val="1"/>
      <w:numFmt w:val="bullet"/>
      <w:lvlText w:val=""/>
      <w:lvlJc w:val="left"/>
      <w:pPr>
        <w:ind w:left="1506" w:hanging="360"/>
      </w:pPr>
      <w:rPr>
        <w:rFonts w:ascii="Symbol" w:hAnsi="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6B4212B5"/>
    <w:multiLevelType w:val="hybridMultilevel"/>
    <w:tmpl w:val="97CE2B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9034112"/>
    <w:multiLevelType w:val="multilevel"/>
    <w:tmpl w:val="6720C3A0"/>
    <w:lvl w:ilvl="0">
      <w:start w:val="1"/>
      <w:numFmt w:val="decimal"/>
      <w:lvlText w:val="%1."/>
      <w:lvlJc w:val="left"/>
      <w:pPr>
        <w:ind w:left="786"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B454BE7"/>
    <w:multiLevelType w:val="hybridMultilevel"/>
    <w:tmpl w:val="A808CEF8"/>
    <w:lvl w:ilvl="0" w:tplc="0C090001">
      <w:start w:val="1"/>
      <w:numFmt w:val="bullet"/>
      <w:lvlText w:val=""/>
      <w:lvlJc w:val="left"/>
      <w:pPr>
        <w:ind w:left="720" w:hanging="360"/>
      </w:pPr>
      <w:rPr>
        <w:rFonts w:ascii="Symbol" w:hAnsi="Symbol" w:hint="default"/>
      </w:rPr>
    </w:lvl>
    <w:lvl w:ilvl="1" w:tplc="889C5BD8">
      <w:numFmt w:val="bullet"/>
      <w:lvlText w:val="–"/>
      <w:lvlJc w:val="left"/>
      <w:pPr>
        <w:ind w:left="1584" w:hanging="504"/>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7569D2"/>
    <w:multiLevelType w:val="hybridMultilevel"/>
    <w:tmpl w:val="7C0C3B94"/>
    <w:lvl w:ilvl="0" w:tplc="8C04DA76">
      <w:start w:val="10"/>
      <w:numFmt w:val="decimal"/>
      <w:lvlText w:val="%1."/>
      <w:lvlJc w:val="left"/>
      <w:pPr>
        <w:ind w:left="831" w:hanging="40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6" w15:restartNumberingAfterBreak="0">
    <w:nsid w:val="7CF35348"/>
    <w:multiLevelType w:val="hybridMultilevel"/>
    <w:tmpl w:val="9620F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0"/>
  </w:num>
  <w:num w:numId="4">
    <w:abstractNumId w:val="4"/>
  </w:num>
  <w:num w:numId="5">
    <w:abstractNumId w:val="44"/>
  </w:num>
  <w:num w:numId="6">
    <w:abstractNumId w:val="24"/>
  </w:num>
  <w:num w:numId="7">
    <w:abstractNumId w:val="30"/>
  </w:num>
  <w:num w:numId="8">
    <w:abstractNumId w:val="45"/>
  </w:num>
  <w:num w:numId="9">
    <w:abstractNumId w:val="42"/>
  </w:num>
  <w:num w:numId="10">
    <w:abstractNumId w:val="20"/>
  </w:num>
  <w:num w:numId="11">
    <w:abstractNumId w:val="10"/>
  </w:num>
  <w:num w:numId="12">
    <w:abstractNumId w:val="38"/>
  </w:num>
  <w:num w:numId="13">
    <w:abstractNumId w:val="21"/>
  </w:num>
  <w:num w:numId="14">
    <w:abstractNumId w:val="5"/>
  </w:num>
  <w:num w:numId="15">
    <w:abstractNumId w:val="6"/>
  </w:num>
  <w:num w:numId="16">
    <w:abstractNumId w:val="37"/>
  </w:num>
  <w:num w:numId="17">
    <w:abstractNumId w:val="19"/>
  </w:num>
  <w:num w:numId="18">
    <w:abstractNumId w:val="33"/>
  </w:num>
  <w:num w:numId="19">
    <w:abstractNumId w:val="7"/>
  </w:num>
  <w:num w:numId="20">
    <w:abstractNumId w:val="22"/>
  </w:num>
  <w:num w:numId="21">
    <w:abstractNumId w:val="1"/>
  </w:num>
  <w:num w:numId="22">
    <w:abstractNumId w:val="9"/>
  </w:num>
  <w:num w:numId="23">
    <w:abstractNumId w:val="40"/>
  </w:num>
  <w:num w:numId="24">
    <w:abstractNumId w:val="39"/>
  </w:num>
  <w:num w:numId="25">
    <w:abstractNumId w:val="12"/>
  </w:num>
  <w:num w:numId="26">
    <w:abstractNumId w:val="36"/>
  </w:num>
  <w:num w:numId="27">
    <w:abstractNumId w:val="32"/>
  </w:num>
  <w:num w:numId="28">
    <w:abstractNumId w:val="2"/>
  </w:num>
  <w:num w:numId="29">
    <w:abstractNumId w:val="28"/>
  </w:num>
  <w:num w:numId="30">
    <w:abstractNumId w:val="26"/>
  </w:num>
  <w:num w:numId="31">
    <w:abstractNumId w:val="35"/>
  </w:num>
  <w:num w:numId="32">
    <w:abstractNumId w:val="23"/>
  </w:num>
  <w:num w:numId="33">
    <w:abstractNumId w:val="27"/>
  </w:num>
  <w:num w:numId="34">
    <w:abstractNumId w:val="14"/>
  </w:num>
  <w:num w:numId="35">
    <w:abstractNumId w:val="29"/>
  </w:num>
  <w:num w:numId="36">
    <w:abstractNumId w:val="3"/>
  </w:num>
  <w:num w:numId="37">
    <w:abstractNumId w:val="11"/>
  </w:num>
  <w:num w:numId="38">
    <w:abstractNumId w:val="15"/>
  </w:num>
  <w:num w:numId="39">
    <w:abstractNumId w:val="34"/>
  </w:num>
  <w:num w:numId="40">
    <w:abstractNumId w:val="46"/>
  </w:num>
  <w:num w:numId="41">
    <w:abstractNumId w:val="31"/>
  </w:num>
  <w:num w:numId="42">
    <w:abstractNumId w:val="17"/>
  </w:num>
  <w:num w:numId="43">
    <w:abstractNumId w:val="13"/>
  </w:num>
  <w:num w:numId="44">
    <w:abstractNumId w:val="8"/>
  </w:num>
  <w:num w:numId="45">
    <w:abstractNumId w:val="25"/>
  </w:num>
  <w:num w:numId="46">
    <w:abstractNumId w:val="41"/>
  </w:num>
  <w:num w:numId="4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A8"/>
    <w:rsid w:val="0002612F"/>
    <w:rsid w:val="00027CAC"/>
    <w:rsid w:val="00030563"/>
    <w:rsid w:val="00031F51"/>
    <w:rsid w:val="00037D40"/>
    <w:rsid w:val="000409DE"/>
    <w:rsid w:val="000474CD"/>
    <w:rsid w:val="000541C9"/>
    <w:rsid w:val="0008014B"/>
    <w:rsid w:val="0008123C"/>
    <w:rsid w:val="00086774"/>
    <w:rsid w:val="00091258"/>
    <w:rsid w:val="000B68B6"/>
    <w:rsid w:val="000B7548"/>
    <w:rsid w:val="000C3455"/>
    <w:rsid w:val="000C3852"/>
    <w:rsid w:val="000C4120"/>
    <w:rsid w:val="000C6A7B"/>
    <w:rsid w:val="000D0C56"/>
    <w:rsid w:val="000F07ED"/>
    <w:rsid w:val="000F0F71"/>
    <w:rsid w:val="000F34EE"/>
    <w:rsid w:val="001133F4"/>
    <w:rsid w:val="001235B7"/>
    <w:rsid w:val="001248B3"/>
    <w:rsid w:val="00133CFB"/>
    <w:rsid w:val="00143028"/>
    <w:rsid w:val="0014361A"/>
    <w:rsid w:val="00145512"/>
    <w:rsid w:val="00147856"/>
    <w:rsid w:val="001538B9"/>
    <w:rsid w:val="00162F97"/>
    <w:rsid w:val="00166B9B"/>
    <w:rsid w:val="00170894"/>
    <w:rsid w:val="00172506"/>
    <w:rsid w:val="00196A12"/>
    <w:rsid w:val="00197229"/>
    <w:rsid w:val="001A4A4A"/>
    <w:rsid w:val="001B14A2"/>
    <w:rsid w:val="001C7EC5"/>
    <w:rsid w:val="001D5FBB"/>
    <w:rsid w:val="001F094B"/>
    <w:rsid w:val="001F633C"/>
    <w:rsid w:val="00232B18"/>
    <w:rsid w:val="0023737B"/>
    <w:rsid w:val="002727C6"/>
    <w:rsid w:val="00283E01"/>
    <w:rsid w:val="002972B6"/>
    <w:rsid w:val="002A1FCF"/>
    <w:rsid w:val="002A36F4"/>
    <w:rsid w:val="002A4594"/>
    <w:rsid w:val="002B0930"/>
    <w:rsid w:val="002B0AF2"/>
    <w:rsid w:val="002B6354"/>
    <w:rsid w:val="002B6556"/>
    <w:rsid w:val="002B6F70"/>
    <w:rsid w:val="002C15A4"/>
    <w:rsid w:val="002D6110"/>
    <w:rsid w:val="002F198A"/>
    <w:rsid w:val="002F55F2"/>
    <w:rsid w:val="002F63DF"/>
    <w:rsid w:val="002F7861"/>
    <w:rsid w:val="00300BC0"/>
    <w:rsid w:val="00304D40"/>
    <w:rsid w:val="003122B2"/>
    <w:rsid w:val="00320AC7"/>
    <w:rsid w:val="00331113"/>
    <w:rsid w:val="003338BB"/>
    <w:rsid w:val="00335766"/>
    <w:rsid w:val="00344B28"/>
    <w:rsid w:val="00346D03"/>
    <w:rsid w:val="003543C2"/>
    <w:rsid w:val="003607E7"/>
    <w:rsid w:val="00364528"/>
    <w:rsid w:val="00381F77"/>
    <w:rsid w:val="00390D50"/>
    <w:rsid w:val="003A20AD"/>
    <w:rsid w:val="003A2FFC"/>
    <w:rsid w:val="003A6A5D"/>
    <w:rsid w:val="003E1F86"/>
    <w:rsid w:val="003E502D"/>
    <w:rsid w:val="003E6D5B"/>
    <w:rsid w:val="003E7DC8"/>
    <w:rsid w:val="003F170E"/>
    <w:rsid w:val="003F2B72"/>
    <w:rsid w:val="00413519"/>
    <w:rsid w:val="0042207E"/>
    <w:rsid w:val="00422EF2"/>
    <w:rsid w:val="00442EAB"/>
    <w:rsid w:val="00447F2C"/>
    <w:rsid w:val="00454A1B"/>
    <w:rsid w:val="00463A16"/>
    <w:rsid w:val="004667B2"/>
    <w:rsid w:val="00470A6A"/>
    <w:rsid w:val="004733A4"/>
    <w:rsid w:val="00480C73"/>
    <w:rsid w:val="004A1E5A"/>
    <w:rsid w:val="004C012E"/>
    <w:rsid w:val="004D057B"/>
    <w:rsid w:val="004D65A8"/>
    <w:rsid w:val="004E764F"/>
    <w:rsid w:val="004E7B04"/>
    <w:rsid w:val="004F2E69"/>
    <w:rsid w:val="004F73B7"/>
    <w:rsid w:val="00504338"/>
    <w:rsid w:val="00511311"/>
    <w:rsid w:val="0051747E"/>
    <w:rsid w:val="005403BF"/>
    <w:rsid w:val="005B4B28"/>
    <w:rsid w:val="005D0A52"/>
    <w:rsid w:val="005D2B00"/>
    <w:rsid w:val="005D753C"/>
    <w:rsid w:val="005D76D3"/>
    <w:rsid w:val="0060335E"/>
    <w:rsid w:val="00603615"/>
    <w:rsid w:val="00604C45"/>
    <w:rsid w:val="00605AA8"/>
    <w:rsid w:val="00611F24"/>
    <w:rsid w:val="00664172"/>
    <w:rsid w:val="00675FF9"/>
    <w:rsid w:val="006909A5"/>
    <w:rsid w:val="006B089D"/>
    <w:rsid w:val="006B5DB9"/>
    <w:rsid w:val="006C2878"/>
    <w:rsid w:val="006C61F2"/>
    <w:rsid w:val="006C6F59"/>
    <w:rsid w:val="006E4EDB"/>
    <w:rsid w:val="006F429B"/>
    <w:rsid w:val="006F7787"/>
    <w:rsid w:val="007060E4"/>
    <w:rsid w:val="00710664"/>
    <w:rsid w:val="00744307"/>
    <w:rsid w:val="007513B7"/>
    <w:rsid w:val="007619E4"/>
    <w:rsid w:val="007630BF"/>
    <w:rsid w:val="00770B86"/>
    <w:rsid w:val="007778B0"/>
    <w:rsid w:val="00786FB4"/>
    <w:rsid w:val="007C07E0"/>
    <w:rsid w:val="007C3956"/>
    <w:rsid w:val="007D661E"/>
    <w:rsid w:val="007F0D4C"/>
    <w:rsid w:val="00801EBF"/>
    <w:rsid w:val="0080547B"/>
    <w:rsid w:val="008115DE"/>
    <w:rsid w:val="00833A44"/>
    <w:rsid w:val="008364F2"/>
    <w:rsid w:val="00840893"/>
    <w:rsid w:val="008439C4"/>
    <w:rsid w:val="0085128B"/>
    <w:rsid w:val="0086248D"/>
    <w:rsid w:val="00866FE9"/>
    <w:rsid w:val="00884AB9"/>
    <w:rsid w:val="00892711"/>
    <w:rsid w:val="008A167B"/>
    <w:rsid w:val="008A497B"/>
    <w:rsid w:val="008A779F"/>
    <w:rsid w:val="008A7BB7"/>
    <w:rsid w:val="008B4B57"/>
    <w:rsid w:val="008C4DD5"/>
    <w:rsid w:val="008D7883"/>
    <w:rsid w:val="008E0B37"/>
    <w:rsid w:val="008E15ED"/>
    <w:rsid w:val="009031AC"/>
    <w:rsid w:val="009330AB"/>
    <w:rsid w:val="009514CE"/>
    <w:rsid w:val="00953714"/>
    <w:rsid w:val="00953976"/>
    <w:rsid w:val="00955A87"/>
    <w:rsid w:val="00956FE1"/>
    <w:rsid w:val="00987755"/>
    <w:rsid w:val="0099770A"/>
    <w:rsid w:val="009A5DD5"/>
    <w:rsid w:val="009B4A9D"/>
    <w:rsid w:val="009E1F94"/>
    <w:rsid w:val="009F2ADA"/>
    <w:rsid w:val="009F4713"/>
    <w:rsid w:val="009F76FA"/>
    <w:rsid w:val="00A02AF4"/>
    <w:rsid w:val="00A21B29"/>
    <w:rsid w:val="00A24C63"/>
    <w:rsid w:val="00A251F6"/>
    <w:rsid w:val="00A343BB"/>
    <w:rsid w:val="00A534CB"/>
    <w:rsid w:val="00A62548"/>
    <w:rsid w:val="00A751E3"/>
    <w:rsid w:val="00A763C5"/>
    <w:rsid w:val="00A9103E"/>
    <w:rsid w:val="00AA5853"/>
    <w:rsid w:val="00AB3212"/>
    <w:rsid w:val="00AB4172"/>
    <w:rsid w:val="00AB4D29"/>
    <w:rsid w:val="00AB61F1"/>
    <w:rsid w:val="00AC287C"/>
    <w:rsid w:val="00AD1695"/>
    <w:rsid w:val="00AD4394"/>
    <w:rsid w:val="00AF6CCE"/>
    <w:rsid w:val="00AF7165"/>
    <w:rsid w:val="00B00121"/>
    <w:rsid w:val="00B07742"/>
    <w:rsid w:val="00B15960"/>
    <w:rsid w:val="00B20839"/>
    <w:rsid w:val="00B3266C"/>
    <w:rsid w:val="00B34D4C"/>
    <w:rsid w:val="00B35F76"/>
    <w:rsid w:val="00B44C49"/>
    <w:rsid w:val="00B52172"/>
    <w:rsid w:val="00B55D81"/>
    <w:rsid w:val="00B61CA0"/>
    <w:rsid w:val="00B667B8"/>
    <w:rsid w:val="00B75926"/>
    <w:rsid w:val="00B769D3"/>
    <w:rsid w:val="00B81796"/>
    <w:rsid w:val="00B879AA"/>
    <w:rsid w:val="00BA7D02"/>
    <w:rsid w:val="00BB718B"/>
    <w:rsid w:val="00BC3296"/>
    <w:rsid w:val="00BD6099"/>
    <w:rsid w:val="00BE4BD9"/>
    <w:rsid w:val="00BF348C"/>
    <w:rsid w:val="00BF495A"/>
    <w:rsid w:val="00C1560F"/>
    <w:rsid w:val="00C20A1A"/>
    <w:rsid w:val="00C24721"/>
    <w:rsid w:val="00C51229"/>
    <w:rsid w:val="00C534D6"/>
    <w:rsid w:val="00C57EE8"/>
    <w:rsid w:val="00C87873"/>
    <w:rsid w:val="00C912A7"/>
    <w:rsid w:val="00C91309"/>
    <w:rsid w:val="00C94B8A"/>
    <w:rsid w:val="00CA0D64"/>
    <w:rsid w:val="00CA429E"/>
    <w:rsid w:val="00CB18A0"/>
    <w:rsid w:val="00CC08C6"/>
    <w:rsid w:val="00CD7FE8"/>
    <w:rsid w:val="00CE08C4"/>
    <w:rsid w:val="00CE4871"/>
    <w:rsid w:val="00CE521F"/>
    <w:rsid w:val="00CF5940"/>
    <w:rsid w:val="00D154A8"/>
    <w:rsid w:val="00D16346"/>
    <w:rsid w:val="00D17A38"/>
    <w:rsid w:val="00D24B91"/>
    <w:rsid w:val="00D25869"/>
    <w:rsid w:val="00D47390"/>
    <w:rsid w:val="00D51799"/>
    <w:rsid w:val="00D52F4B"/>
    <w:rsid w:val="00D55A6B"/>
    <w:rsid w:val="00D5681A"/>
    <w:rsid w:val="00D576EE"/>
    <w:rsid w:val="00D84A32"/>
    <w:rsid w:val="00D91A20"/>
    <w:rsid w:val="00D92BB5"/>
    <w:rsid w:val="00D976CC"/>
    <w:rsid w:val="00DD0D71"/>
    <w:rsid w:val="00DD75DF"/>
    <w:rsid w:val="00E265E3"/>
    <w:rsid w:val="00E26707"/>
    <w:rsid w:val="00E34A1A"/>
    <w:rsid w:val="00E50C6A"/>
    <w:rsid w:val="00E53E50"/>
    <w:rsid w:val="00E54DA4"/>
    <w:rsid w:val="00E72E9C"/>
    <w:rsid w:val="00E86B36"/>
    <w:rsid w:val="00EB0B49"/>
    <w:rsid w:val="00EC1411"/>
    <w:rsid w:val="00EC1B05"/>
    <w:rsid w:val="00EC3BD8"/>
    <w:rsid w:val="00ED3DDF"/>
    <w:rsid w:val="00ED405B"/>
    <w:rsid w:val="00EE0E56"/>
    <w:rsid w:val="00EE2FB6"/>
    <w:rsid w:val="00EF620A"/>
    <w:rsid w:val="00EF66F6"/>
    <w:rsid w:val="00F06C69"/>
    <w:rsid w:val="00F124F2"/>
    <w:rsid w:val="00F33AA8"/>
    <w:rsid w:val="00F36528"/>
    <w:rsid w:val="00F42224"/>
    <w:rsid w:val="00F501C5"/>
    <w:rsid w:val="00F5242C"/>
    <w:rsid w:val="00F575A4"/>
    <w:rsid w:val="00F611AE"/>
    <w:rsid w:val="00F66164"/>
    <w:rsid w:val="00F73539"/>
    <w:rsid w:val="00F74BAE"/>
    <w:rsid w:val="00F84EA1"/>
    <w:rsid w:val="00F91CB5"/>
    <w:rsid w:val="00FB1546"/>
    <w:rsid w:val="00FC0F0B"/>
    <w:rsid w:val="00FD191C"/>
    <w:rsid w:val="00FD373C"/>
    <w:rsid w:val="00FE0D3F"/>
    <w:rsid w:val="00FF6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CEE8"/>
  <w15:docId w15:val="{55F5DBC4-98FB-4077-8A4A-71827552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CFB"/>
  </w:style>
  <w:style w:type="paragraph" w:styleId="Heading1">
    <w:name w:val="heading 1"/>
    <w:basedOn w:val="Normal"/>
    <w:next w:val="Normal"/>
    <w:link w:val="Heading1Char"/>
    <w:autoRedefine/>
    <w:uiPriority w:val="9"/>
    <w:qFormat/>
    <w:rsid w:val="00143028"/>
    <w:pPr>
      <w:spacing w:before="480" w:after="12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unhideWhenUsed/>
    <w:qFormat/>
    <w:rsid w:val="001F094B"/>
    <w:pPr>
      <w:spacing w:before="360" w:after="12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133CF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33CF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3CF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3CF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3CF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3CF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3CF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CF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3CFB"/>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143028"/>
    <w:rPr>
      <w:rFonts w:ascii="Arial" w:eastAsiaTheme="majorEastAsia" w:hAnsi="Arial" w:cstheme="majorBidi"/>
      <w:b/>
      <w:bCs/>
      <w:sz w:val="28"/>
      <w:szCs w:val="28"/>
    </w:rPr>
  </w:style>
  <w:style w:type="paragraph" w:styleId="ListParagraph">
    <w:name w:val="List Paragraph"/>
    <w:aliases w:val="F5 List Paragraph,List Paragraph1,List Paragraph11"/>
    <w:basedOn w:val="Normal"/>
    <w:link w:val="ListParagraphChar"/>
    <w:uiPriority w:val="34"/>
    <w:qFormat/>
    <w:rsid w:val="00133CFB"/>
    <w:pPr>
      <w:ind w:left="720"/>
      <w:contextualSpacing/>
    </w:pPr>
  </w:style>
  <w:style w:type="character" w:styleId="CommentReference">
    <w:name w:val="annotation reference"/>
    <w:basedOn w:val="DefaultParagraphFont"/>
    <w:uiPriority w:val="99"/>
    <w:semiHidden/>
    <w:unhideWhenUsed/>
    <w:rsid w:val="00232B18"/>
    <w:rPr>
      <w:sz w:val="16"/>
      <w:szCs w:val="16"/>
    </w:rPr>
  </w:style>
  <w:style w:type="paragraph" w:styleId="CommentText">
    <w:name w:val="annotation text"/>
    <w:basedOn w:val="Normal"/>
    <w:link w:val="CommentTextChar"/>
    <w:uiPriority w:val="99"/>
    <w:semiHidden/>
    <w:unhideWhenUsed/>
    <w:rsid w:val="00232B18"/>
    <w:pPr>
      <w:spacing w:line="240" w:lineRule="auto"/>
    </w:pPr>
    <w:rPr>
      <w:sz w:val="20"/>
      <w:szCs w:val="20"/>
    </w:rPr>
  </w:style>
  <w:style w:type="character" w:customStyle="1" w:styleId="CommentTextChar">
    <w:name w:val="Comment Text Char"/>
    <w:basedOn w:val="DefaultParagraphFont"/>
    <w:link w:val="CommentText"/>
    <w:uiPriority w:val="99"/>
    <w:semiHidden/>
    <w:rsid w:val="00232B1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2B18"/>
    <w:rPr>
      <w:b/>
      <w:bCs/>
    </w:rPr>
  </w:style>
  <w:style w:type="character" w:customStyle="1" w:styleId="CommentSubjectChar">
    <w:name w:val="Comment Subject Char"/>
    <w:basedOn w:val="CommentTextChar"/>
    <w:link w:val="CommentSubject"/>
    <w:uiPriority w:val="99"/>
    <w:semiHidden/>
    <w:rsid w:val="00232B18"/>
    <w:rPr>
      <w:rFonts w:eastAsiaTheme="minorEastAsia"/>
      <w:b/>
      <w:bCs/>
      <w:sz w:val="20"/>
      <w:szCs w:val="20"/>
    </w:rPr>
  </w:style>
  <w:style w:type="paragraph" w:styleId="BalloonText">
    <w:name w:val="Balloon Text"/>
    <w:basedOn w:val="Normal"/>
    <w:link w:val="BalloonTextChar"/>
    <w:uiPriority w:val="99"/>
    <w:semiHidden/>
    <w:unhideWhenUsed/>
    <w:rsid w:val="0023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18"/>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1F094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33CFB"/>
    <w:rPr>
      <w:rFonts w:asciiTheme="majorHAnsi" w:eastAsiaTheme="majorEastAsia" w:hAnsiTheme="majorHAnsi" w:cstheme="majorBidi"/>
      <w:b/>
      <w:bCs/>
    </w:rPr>
  </w:style>
  <w:style w:type="character" w:customStyle="1" w:styleId="ListParagraphChar">
    <w:name w:val="List Paragraph Char"/>
    <w:aliases w:val="F5 List Paragraph Char,List Paragraph1 Char,List Paragraph11 Char"/>
    <w:link w:val="ListParagraph"/>
    <w:uiPriority w:val="34"/>
    <w:locked/>
    <w:rsid w:val="00442EAB"/>
  </w:style>
  <w:style w:type="table" w:styleId="TableGrid">
    <w:name w:val="Table Grid"/>
    <w:basedOn w:val="TableNormal"/>
    <w:uiPriority w:val="39"/>
    <w:rsid w:val="002B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C9 Footnote text Char"/>
    <w:basedOn w:val="DefaultParagraphFont"/>
    <w:link w:val="FootnoteText"/>
    <w:uiPriority w:val="99"/>
    <w:locked/>
    <w:rsid w:val="00B3266C"/>
    <w:rPr>
      <w:rFonts w:ascii="Calibri" w:eastAsiaTheme="minorEastAsia" w:hAnsi="Calibri" w:cs="Times New Roman"/>
      <w:sz w:val="18"/>
      <w:szCs w:val="20"/>
      <w:lang w:val="en-US" w:eastAsia="ja-JP"/>
    </w:rPr>
  </w:style>
  <w:style w:type="paragraph" w:styleId="FootnoteText">
    <w:name w:val="footnote text"/>
    <w:aliases w:val="C9 Footnote text"/>
    <w:basedOn w:val="Normal"/>
    <w:link w:val="FootnoteTextChar"/>
    <w:uiPriority w:val="99"/>
    <w:unhideWhenUsed/>
    <w:rsid w:val="00B3266C"/>
    <w:pPr>
      <w:spacing w:after="0" w:line="240" w:lineRule="auto"/>
    </w:pPr>
    <w:rPr>
      <w:rFonts w:ascii="Calibri" w:hAnsi="Calibri" w:cs="Times New Roman"/>
      <w:sz w:val="18"/>
      <w:szCs w:val="20"/>
      <w:lang w:val="en-US" w:eastAsia="ja-JP"/>
    </w:rPr>
  </w:style>
  <w:style w:type="character" w:customStyle="1" w:styleId="FootnoteTextChar1">
    <w:name w:val="Footnote Text Char1"/>
    <w:basedOn w:val="DefaultParagraphFont"/>
    <w:uiPriority w:val="99"/>
    <w:semiHidden/>
    <w:rsid w:val="00B3266C"/>
    <w:rPr>
      <w:rFonts w:eastAsiaTheme="minorEastAsia"/>
      <w:sz w:val="20"/>
      <w:szCs w:val="20"/>
    </w:rPr>
  </w:style>
  <w:style w:type="character" w:styleId="FootnoteReference">
    <w:name w:val="footnote reference"/>
    <w:basedOn w:val="DefaultParagraphFont"/>
    <w:uiPriority w:val="99"/>
    <w:unhideWhenUsed/>
    <w:rsid w:val="00B3266C"/>
    <w:rPr>
      <w:vertAlign w:val="superscript"/>
    </w:rPr>
  </w:style>
  <w:style w:type="paragraph" w:styleId="Subtitle">
    <w:name w:val="Subtitle"/>
    <w:basedOn w:val="Normal"/>
    <w:next w:val="Normal"/>
    <w:link w:val="SubtitleChar"/>
    <w:autoRedefine/>
    <w:uiPriority w:val="11"/>
    <w:qFormat/>
    <w:rsid w:val="00447F2C"/>
    <w:pPr>
      <w:spacing w:after="120"/>
    </w:pPr>
    <w:rPr>
      <w:rFonts w:ascii="Arial" w:eastAsiaTheme="majorEastAsia" w:hAnsi="Arial" w:cs="Arial"/>
      <w:iCs/>
      <w:spacing w:val="13"/>
      <w:sz w:val="24"/>
      <w:szCs w:val="24"/>
    </w:rPr>
  </w:style>
  <w:style w:type="character" w:customStyle="1" w:styleId="SubtitleChar">
    <w:name w:val="Subtitle Char"/>
    <w:basedOn w:val="DefaultParagraphFont"/>
    <w:link w:val="Subtitle"/>
    <w:uiPriority w:val="11"/>
    <w:rsid w:val="00447F2C"/>
    <w:rPr>
      <w:rFonts w:ascii="Arial" w:eastAsiaTheme="majorEastAsia" w:hAnsi="Arial" w:cs="Arial"/>
      <w:iCs/>
      <w:spacing w:val="13"/>
      <w:sz w:val="24"/>
      <w:szCs w:val="24"/>
    </w:rPr>
  </w:style>
  <w:style w:type="paragraph" w:styleId="TOCHeading">
    <w:name w:val="TOC Heading"/>
    <w:basedOn w:val="Heading1"/>
    <w:next w:val="Normal"/>
    <w:uiPriority w:val="39"/>
    <w:unhideWhenUsed/>
    <w:qFormat/>
    <w:rsid w:val="00133CFB"/>
    <w:pPr>
      <w:outlineLvl w:val="9"/>
    </w:pPr>
    <w:rPr>
      <w:lang w:bidi="en-US"/>
    </w:rPr>
  </w:style>
  <w:style w:type="paragraph" w:styleId="TOC1">
    <w:name w:val="toc 1"/>
    <w:basedOn w:val="Normal"/>
    <w:next w:val="Normal"/>
    <w:autoRedefine/>
    <w:uiPriority w:val="39"/>
    <w:unhideWhenUsed/>
    <w:rsid w:val="00EB0B49"/>
    <w:pPr>
      <w:tabs>
        <w:tab w:val="right" w:leader="dot" w:pos="9016"/>
      </w:tabs>
      <w:spacing w:before="360" w:after="100"/>
    </w:pPr>
    <w:rPr>
      <w:rFonts w:ascii="Arial" w:hAnsi="Arial" w:cs="Arial"/>
      <w:sz w:val="28"/>
      <w:szCs w:val="24"/>
    </w:rPr>
  </w:style>
  <w:style w:type="paragraph" w:styleId="TOC2">
    <w:name w:val="toc 2"/>
    <w:basedOn w:val="Normal"/>
    <w:next w:val="Normal"/>
    <w:autoRedefine/>
    <w:uiPriority w:val="39"/>
    <w:unhideWhenUsed/>
    <w:rsid w:val="00BA7D02"/>
    <w:pPr>
      <w:spacing w:after="100"/>
      <w:ind w:left="220"/>
    </w:pPr>
  </w:style>
  <w:style w:type="paragraph" w:styleId="TOC3">
    <w:name w:val="toc 3"/>
    <w:basedOn w:val="Normal"/>
    <w:next w:val="Normal"/>
    <w:autoRedefine/>
    <w:uiPriority w:val="39"/>
    <w:unhideWhenUsed/>
    <w:rsid w:val="00BA7D02"/>
    <w:pPr>
      <w:spacing w:after="100"/>
      <w:ind w:left="440"/>
    </w:pPr>
  </w:style>
  <w:style w:type="character" w:styleId="Hyperlink">
    <w:name w:val="Hyperlink"/>
    <w:basedOn w:val="DefaultParagraphFont"/>
    <w:uiPriority w:val="99"/>
    <w:unhideWhenUsed/>
    <w:rsid w:val="00BA7D02"/>
    <w:rPr>
      <w:color w:val="0563C1" w:themeColor="hyperlink"/>
      <w:u w:val="single"/>
    </w:rPr>
  </w:style>
  <w:style w:type="character" w:customStyle="1" w:styleId="Heading4Char">
    <w:name w:val="Heading 4 Char"/>
    <w:basedOn w:val="DefaultParagraphFont"/>
    <w:link w:val="Heading4"/>
    <w:uiPriority w:val="9"/>
    <w:rsid w:val="00133CFB"/>
    <w:rPr>
      <w:rFonts w:asciiTheme="majorHAnsi" w:eastAsiaTheme="majorEastAsia" w:hAnsiTheme="majorHAnsi" w:cstheme="majorBidi"/>
      <w:b/>
      <w:bCs/>
      <w:i/>
      <w:iCs/>
    </w:rPr>
  </w:style>
  <w:style w:type="paragraph" w:customStyle="1" w:styleId="List2ndlevel">
    <w:name w:val="List 2nd level"/>
    <w:basedOn w:val="ListParagraph"/>
    <w:link w:val="List2ndlevelChar"/>
    <w:rsid w:val="00744307"/>
    <w:pPr>
      <w:numPr>
        <w:ilvl w:val="1"/>
        <w:numId w:val="6"/>
      </w:numPr>
    </w:pPr>
  </w:style>
  <w:style w:type="character" w:customStyle="1" w:styleId="List2ndlevelChar">
    <w:name w:val="List 2nd level Char"/>
    <w:basedOn w:val="ListParagraphChar"/>
    <w:link w:val="List2ndlevel"/>
    <w:rsid w:val="00744307"/>
  </w:style>
  <w:style w:type="paragraph" w:customStyle="1" w:styleId="c5TextBody">
    <w:name w:val="c5 Text_Body"/>
    <w:basedOn w:val="Normal"/>
    <w:link w:val="c5TextBodyChar"/>
    <w:rsid w:val="00866FE9"/>
    <w:pPr>
      <w:keepLines/>
      <w:spacing w:before="200" w:after="0" w:line="240" w:lineRule="auto"/>
    </w:pPr>
    <w:rPr>
      <w:rFonts w:cs="Times New Roman"/>
      <w:szCs w:val="20"/>
      <w:lang w:val="en-US" w:eastAsia="ja-JP"/>
    </w:rPr>
  </w:style>
  <w:style w:type="character" w:customStyle="1" w:styleId="c5TextBodyChar">
    <w:name w:val="c5 Text_Body Char"/>
    <w:basedOn w:val="DefaultParagraphFont"/>
    <w:link w:val="c5TextBody"/>
    <w:rsid w:val="00866FE9"/>
    <w:rPr>
      <w:rFonts w:eastAsiaTheme="minorEastAsia" w:cs="Times New Roman"/>
      <w:szCs w:val="20"/>
      <w:lang w:val="en-US" w:eastAsia="ja-JP"/>
    </w:rPr>
  </w:style>
  <w:style w:type="paragraph" w:customStyle="1" w:styleId="F5TableText">
    <w:name w:val="F5 Table Text"/>
    <w:basedOn w:val="Normal"/>
    <w:rsid w:val="00866FE9"/>
    <w:pPr>
      <w:spacing w:after="0" w:line="220" w:lineRule="exact"/>
    </w:pPr>
    <w:rPr>
      <w:rFonts w:ascii="Calibri" w:eastAsia="Times New Roman" w:hAnsi="Calibri" w:cs="Times New Roman"/>
      <w:color w:val="000000"/>
      <w:sz w:val="20"/>
      <w:szCs w:val="20"/>
      <w:lang w:eastAsia="en-AU"/>
    </w:rPr>
  </w:style>
  <w:style w:type="paragraph" w:customStyle="1" w:styleId="CaptionMO">
    <w:name w:val="Caption MO"/>
    <w:basedOn w:val="Caption"/>
    <w:link w:val="CaptionMOChar"/>
    <w:rsid w:val="00866FE9"/>
    <w:pPr>
      <w:spacing w:before="240" w:after="0"/>
    </w:pPr>
    <w:rPr>
      <w:rFonts w:cs="Times New Roman"/>
      <w:b/>
      <w:bCs/>
      <w:i w:val="0"/>
      <w:iCs w:val="0"/>
      <w:color w:val="5B9BD5" w:themeColor="accent1"/>
      <w:lang w:val="en-US" w:eastAsia="ja-JP"/>
    </w:rPr>
  </w:style>
  <w:style w:type="character" w:customStyle="1" w:styleId="CaptionMOChar">
    <w:name w:val="Caption MO Char"/>
    <w:basedOn w:val="DefaultParagraphFont"/>
    <w:link w:val="CaptionMO"/>
    <w:rsid w:val="00866FE9"/>
    <w:rPr>
      <w:rFonts w:eastAsiaTheme="minorEastAsia" w:cs="Times New Roman"/>
      <w:b/>
      <w:bCs/>
      <w:color w:val="5B9BD5" w:themeColor="accent1"/>
      <w:sz w:val="18"/>
      <w:szCs w:val="18"/>
      <w:lang w:val="en-US" w:eastAsia="ja-JP"/>
    </w:rPr>
  </w:style>
  <w:style w:type="paragraph" w:styleId="Caption">
    <w:name w:val="caption"/>
    <w:basedOn w:val="Normal"/>
    <w:next w:val="Normal"/>
    <w:uiPriority w:val="35"/>
    <w:semiHidden/>
    <w:unhideWhenUsed/>
    <w:rsid w:val="00866FE9"/>
    <w:pPr>
      <w:spacing w:line="240" w:lineRule="auto"/>
    </w:pPr>
    <w:rPr>
      <w:i/>
      <w:iCs/>
      <w:color w:val="44546A" w:themeColor="text2"/>
      <w:sz w:val="18"/>
      <w:szCs w:val="18"/>
    </w:rPr>
  </w:style>
  <w:style w:type="paragraph" w:styleId="Header">
    <w:name w:val="header"/>
    <w:basedOn w:val="Normal"/>
    <w:link w:val="HeaderChar"/>
    <w:uiPriority w:val="99"/>
    <w:unhideWhenUsed/>
    <w:rsid w:val="003A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FC"/>
    <w:rPr>
      <w:rFonts w:eastAsiaTheme="minorEastAsia"/>
    </w:rPr>
  </w:style>
  <w:style w:type="paragraph" w:styleId="Footer">
    <w:name w:val="footer"/>
    <w:basedOn w:val="Normal"/>
    <w:link w:val="FooterChar"/>
    <w:uiPriority w:val="99"/>
    <w:unhideWhenUsed/>
    <w:rsid w:val="003A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FC"/>
    <w:rPr>
      <w:rFonts w:eastAsiaTheme="minorEastAsia"/>
    </w:rPr>
  </w:style>
  <w:style w:type="paragraph" w:customStyle="1" w:styleId="Style1">
    <w:name w:val="Style1"/>
    <w:basedOn w:val="Heading1"/>
    <w:link w:val="Style1Char"/>
    <w:rsid w:val="00133CFB"/>
    <w:rPr>
      <w:rFonts w:ascii="Lucida Sans" w:eastAsia="Times New Roman" w:hAnsi="Lucida Sans" w:cs="Times New Roman"/>
      <w:b w:val="0"/>
      <w:bCs w:val="0"/>
      <w:color w:val="1F3C77"/>
    </w:rPr>
  </w:style>
  <w:style w:type="character" w:customStyle="1" w:styleId="Style1Char">
    <w:name w:val="Style1 Char"/>
    <w:link w:val="Style1"/>
    <w:rsid w:val="00133CFB"/>
    <w:rPr>
      <w:rFonts w:ascii="Lucida Sans" w:eastAsia="Times New Roman" w:hAnsi="Lucida Sans" w:cs="Times New Roman"/>
      <w:b/>
      <w:bCs/>
      <w:color w:val="1F3C77"/>
      <w:sz w:val="28"/>
      <w:szCs w:val="28"/>
    </w:rPr>
  </w:style>
  <w:style w:type="character" w:customStyle="1" w:styleId="Heading5Char">
    <w:name w:val="Heading 5 Char"/>
    <w:basedOn w:val="DefaultParagraphFont"/>
    <w:link w:val="Heading5"/>
    <w:uiPriority w:val="9"/>
    <w:semiHidden/>
    <w:rsid w:val="00133C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3C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3C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3C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3CFB"/>
    <w:rPr>
      <w:rFonts w:asciiTheme="majorHAnsi" w:eastAsiaTheme="majorEastAsia" w:hAnsiTheme="majorHAnsi" w:cstheme="majorBidi"/>
      <w:i/>
      <w:iCs/>
      <w:spacing w:val="5"/>
      <w:sz w:val="20"/>
      <w:szCs w:val="20"/>
    </w:rPr>
  </w:style>
  <w:style w:type="character" w:styleId="Strong">
    <w:name w:val="Strong"/>
    <w:uiPriority w:val="22"/>
    <w:qFormat/>
    <w:rsid w:val="00133CFB"/>
    <w:rPr>
      <w:b/>
      <w:bCs/>
    </w:rPr>
  </w:style>
  <w:style w:type="character" w:styleId="Emphasis">
    <w:name w:val="Emphasis"/>
    <w:uiPriority w:val="20"/>
    <w:qFormat/>
    <w:rsid w:val="00133CFB"/>
    <w:rPr>
      <w:b/>
      <w:bCs/>
      <w:i/>
      <w:iCs/>
      <w:spacing w:val="10"/>
      <w:bdr w:val="none" w:sz="0" w:space="0" w:color="auto"/>
      <w:shd w:val="clear" w:color="auto" w:fill="auto"/>
    </w:rPr>
  </w:style>
  <w:style w:type="paragraph" w:styleId="NoSpacing">
    <w:name w:val="No Spacing"/>
    <w:basedOn w:val="Normal"/>
    <w:uiPriority w:val="1"/>
    <w:qFormat/>
    <w:rsid w:val="00133CFB"/>
    <w:pPr>
      <w:spacing w:after="0" w:line="240" w:lineRule="auto"/>
    </w:pPr>
  </w:style>
  <w:style w:type="paragraph" w:styleId="Quote">
    <w:name w:val="Quote"/>
    <w:basedOn w:val="Normal"/>
    <w:next w:val="Normal"/>
    <w:link w:val="QuoteChar"/>
    <w:uiPriority w:val="29"/>
    <w:qFormat/>
    <w:rsid w:val="00133CFB"/>
    <w:pPr>
      <w:spacing w:before="200" w:after="0"/>
      <w:ind w:left="360" w:right="360"/>
    </w:pPr>
    <w:rPr>
      <w:i/>
      <w:iCs/>
    </w:rPr>
  </w:style>
  <w:style w:type="character" w:customStyle="1" w:styleId="QuoteChar">
    <w:name w:val="Quote Char"/>
    <w:basedOn w:val="DefaultParagraphFont"/>
    <w:link w:val="Quote"/>
    <w:uiPriority w:val="29"/>
    <w:rsid w:val="00133CFB"/>
    <w:rPr>
      <w:i/>
      <w:iCs/>
    </w:rPr>
  </w:style>
  <w:style w:type="paragraph" w:styleId="IntenseQuote">
    <w:name w:val="Intense Quote"/>
    <w:basedOn w:val="Normal"/>
    <w:next w:val="Normal"/>
    <w:link w:val="IntenseQuoteChar"/>
    <w:uiPriority w:val="30"/>
    <w:qFormat/>
    <w:rsid w:val="00133CF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3CFB"/>
    <w:rPr>
      <w:b/>
      <w:bCs/>
      <w:i/>
      <w:iCs/>
    </w:rPr>
  </w:style>
  <w:style w:type="character" w:styleId="SubtleEmphasis">
    <w:name w:val="Subtle Emphasis"/>
    <w:uiPriority w:val="19"/>
    <w:qFormat/>
    <w:rsid w:val="00133CFB"/>
    <w:rPr>
      <w:i/>
      <w:iCs/>
    </w:rPr>
  </w:style>
  <w:style w:type="character" w:styleId="IntenseEmphasis">
    <w:name w:val="Intense Emphasis"/>
    <w:uiPriority w:val="21"/>
    <w:qFormat/>
    <w:rsid w:val="00133CFB"/>
    <w:rPr>
      <w:b/>
      <w:bCs/>
    </w:rPr>
  </w:style>
  <w:style w:type="character" w:styleId="SubtleReference">
    <w:name w:val="Subtle Reference"/>
    <w:uiPriority w:val="31"/>
    <w:qFormat/>
    <w:rsid w:val="00133CFB"/>
    <w:rPr>
      <w:smallCaps/>
    </w:rPr>
  </w:style>
  <w:style w:type="character" w:styleId="IntenseReference">
    <w:name w:val="Intense Reference"/>
    <w:uiPriority w:val="32"/>
    <w:qFormat/>
    <w:rsid w:val="00133CFB"/>
    <w:rPr>
      <w:smallCaps/>
      <w:spacing w:val="5"/>
      <w:u w:val="single"/>
    </w:rPr>
  </w:style>
  <w:style w:type="character" w:styleId="BookTitle">
    <w:name w:val="Book Title"/>
    <w:uiPriority w:val="33"/>
    <w:qFormat/>
    <w:rsid w:val="00133CFB"/>
    <w:rPr>
      <w:i/>
      <w:iCs/>
      <w:smallCaps/>
      <w:spacing w:val="5"/>
    </w:rPr>
  </w:style>
  <w:style w:type="paragraph" w:customStyle="1" w:styleId="Default">
    <w:name w:val="Default"/>
    <w:rsid w:val="0008014B"/>
    <w:pPr>
      <w:autoSpaceDE w:val="0"/>
      <w:autoSpaceDN w:val="0"/>
      <w:adjustRightInd w:val="0"/>
      <w:spacing w:after="0" w:line="240" w:lineRule="auto"/>
    </w:pPr>
    <w:rPr>
      <w:rFonts w:ascii="Arial Rounded MT Bold" w:eastAsia="Times New Roman" w:hAnsi="Arial Rounded MT Bold" w:cs="Arial Rounded MT Bold"/>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818">
      <w:bodyDiv w:val="1"/>
      <w:marLeft w:val="0"/>
      <w:marRight w:val="0"/>
      <w:marTop w:val="0"/>
      <w:marBottom w:val="0"/>
      <w:divBdr>
        <w:top w:val="none" w:sz="0" w:space="0" w:color="auto"/>
        <w:left w:val="none" w:sz="0" w:space="0" w:color="auto"/>
        <w:bottom w:val="none" w:sz="0" w:space="0" w:color="auto"/>
        <w:right w:val="none" w:sz="0" w:space="0" w:color="auto"/>
      </w:divBdr>
    </w:div>
    <w:div w:id="266350678">
      <w:bodyDiv w:val="1"/>
      <w:marLeft w:val="0"/>
      <w:marRight w:val="0"/>
      <w:marTop w:val="0"/>
      <w:marBottom w:val="0"/>
      <w:divBdr>
        <w:top w:val="none" w:sz="0" w:space="0" w:color="auto"/>
        <w:left w:val="none" w:sz="0" w:space="0" w:color="auto"/>
        <w:bottom w:val="none" w:sz="0" w:space="0" w:color="auto"/>
        <w:right w:val="none" w:sz="0" w:space="0" w:color="auto"/>
      </w:divBdr>
    </w:div>
    <w:div w:id="387531724">
      <w:bodyDiv w:val="1"/>
      <w:marLeft w:val="0"/>
      <w:marRight w:val="0"/>
      <w:marTop w:val="0"/>
      <w:marBottom w:val="0"/>
      <w:divBdr>
        <w:top w:val="none" w:sz="0" w:space="0" w:color="auto"/>
        <w:left w:val="none" w:sz="0" w:space="0" w:color="auto"/>
        <w:bottom w:val="none" w:sz="0" w:space="0" w:color="auto"/>
        <w:right w:val="none" w:sz="0" w:space="0" w:color="auto"/>
      </w:divBdr>
    </w:div>
    <w:div w:id="400956054">
      <w:bodyDiv w:val="1"/>
      <w:marLeft w:val="0"/>
      <w:marRight w:val="0"/>
      <w:marTop w:val="0"/>
      <w:marBottom w:val="0"/>
      <w:divBdr>
        <w:top w:val="none" w:sz="0" w:space="0" w:color="auto"/>
        <w:left w:val="none" w:sz="0" w:space="0" w:color="auto"/>
        <w:bottom w:val="none" w:sz="0" w:space="0" w:color="auto"/>
        <w:right w:val="none" w:sz="0" w:space="0" w:color="auto"/>
      </w:divBdr>
    </w:div>
    <w:div w:id="597375990">
      <w:bodyDiv w:val="1"/>
      <w:marLeft w:val="0"/>
      <w:marRight w:val="0"/>
      <w:marTop w:val="0"/>
      <w:marBottom w:val="0"/>
      <w:divBdr>
        <w:top w:val="none" w:sz="0" w:space="0" w:color="auto"/>
        <w:left w:val="none" w:sz="0" w:space="0" w:color="auto"/>
        <w:bottom w:val="none" w:sz="0" w:space="0" w:color="auto"/>
        <w:right w:val="none" w:sz="0" w:space="0" w:color="auto"/>
      </w:divBdr>
    </w:div>
    <w:div w:id="675233459">
      <w:bodyDiv w:val="1"/>
      <w:marLeft w:val="0"/>
      <w:marRight w:val="0"/>
      <w:marTop w:val="0"/>
      <w:marBottom w:val="0"/>
      <w:divBdr>
        <w:top w:val="none" w:sz="0" w:space="0" w:color="auto"/>
        <w:left w:val="none" w:sz="0" w:space="0" w:color="auto"/>
        <w:bottom w:val="none" w:sz="0" w:space="0" w:color="auto"/>
        <w:right w:val="none" w:sz="0" w:space="0" w:color="auto"/>
      </w:divBdr>
    </w:div>
    <w:div w:id="707148431">
      <w:bodyDiv w:val="1"/>
      <w:marLeft w:val="0"/>
      <w:marRight w:val="0"/>
      <w:marTop w:val="0"/>
      <w:marBottom w:val="0"/>
      <w:divBdr>
        <w:top w:val="none" w:sz="0" w:space="0" w:color="auto"/>
        <w:left w:val="none" w:sz="0" w:space="0" w:color="auto"/>
        <w:bottom w:val="none" w:sz="0" w:space="0" w:color="auto"/>
        <w:right w:val="none" w:sz="0" w:space="0" w:color="auto"/>
      </w:divBdr>
    </w:div>
    <w:div w:id="816067528">
      <w:bodyDiv w:val="1"/>
      <w:marLeft w:val="0"/>
      <w:marRight w:val="0"/>
      <w:marTop w:val="0"/>
      <w:marBottom w:val="0"/>
      <w:divBdr>
        <w:top w:val="none" w:sz="0" w:space="0" w:color="auto"/>
        <w:left w:val="none" w:sz="0" w:space="0" w:color="auto"/>
        <w:bottom w:val="none" w:sz="0" w:space="0" w:color="auto"/>
        <w:right w:val="none" w:sz="0" w:space="0" w:color="auto"/>
      </w:divBdr>
    </w:div>
    <w:div w:id="1408958777">
      <w:bodyDiv w:val="1"/>
      <w:marLeft w:val="0"/>
      <w:marRight w:val="0"/>
      <w:marTop w:val="0"/>
      <w:marBottom w:val="0"/>
      <w:divBdr>
        <w:top w:val="none" w:sz="0" w:space="0" w:color="auto"/>
        <w:left w:val="none" w:sz="0" w:space="0" w:color="auto"/>
        <w:bottom w:val="none" w:sz="0" w:space="0" w:color="auto"/>
        <w:right w:val="none" w:sz="0" w:space="0" w:color="auto"/>
      </w:divBdr>
    </w:div>
    <w:div w:id="1485197801">
      <w:bodyDiv w:val="1"/>
      <w:marLeft w:val="0"/>
      <w:marRight w:val="0"/>
      <w:marTop w:val="0"/>
      <w:marBottom w:val="0"/>
      <w:divBdr>
        <w:top w:val="none" w:sz="0" w:space="0" w:color="auto"/>
        <w:left w:val="none" w:sz="0" w:space="0" w:color="auto"/>
        <w:bottom w:val="none" w:sz="0" w:space="0" w:color="auto"/>
        <w:right w:val="none" w:sz="0" w:space="0" w:color="auto"/>
      </w:divBdr>
    </w:div>
    <w:div w:id="1604994024">
      <w:bodyDiv w:val="1"/>
      <w:marLeft w:val="0"/>
      <w:marRight w:val="0"/>
      <w:marTop w:val="0"/>
      <w:marBottom w:val="0"/>
      <w:divBdr>
        <w:top w:val="none" w:sz="0" w:space="0" w:color="auto"/>
        <w:left w:val="none" w:sz="0" w:space="0" w:color="auto"/>
        <w:bottom w:val="none" w:sz="0" w:space="0" w:color="auto"/>
        <w:right w:val="none" w:sz="0" w:space="0" w:color="auto"/>
      </w:divBdr>
    </w:div>
    <w:div w:id="1811971744">
      <w:bodyDiv w:val="1"/>
      <w:marLeft w:val="0"/>
      <w:marRight w:val="0"/>
      <w:marTop w:val="0"/>
      <w:marBottom w:val="0"/>
      <w:divBdr>
        <w:top w:val="none" w:sz="0" w:space="0" w:color="auto"/>
        <w:left w:val="none" w:sz="0" w:space="0" w:color="auto"/>
        <w:bottom w:val="none" w:sz="0" w:space="0" w:color="auto"/>
        <w:right w:val="none" w:sz="0" w:space="0" w:color="auto"/>
      </w:divBdr>
    </w:div>
    <w:div w:id="1880776093">
      <w:bodyDiv w:val="1"/>
      <w:marLeft w:val="0"/>
      <w:marRight w:val="0"/>
      <w:marTop w:val="0"/>
      <w:marBottom w:val="0"/>
      <w:divBdr>
        <w:top w:val="none" w:sz="0" w:space="0" w:color="auto"/>
        <w:left w:val="none" w:sz="0" w:space="0" w:color="auto"/>
        <w:bottom w:val="none" w:sz="0" w:space="0" w:color="auto"/>
        <w:right w:val="none" w:sz="0" w:space="0" w:color="auto"/>
      </w:divBdr>
    </w:div>
    <w:div w:id="1899516646">
      <w:bodyDiv w:val="1"/>
      <w:marLeft w:val="0"/>
      <w:marRight w:val="0"/>
      <w:marTop w:val="0"/>
      <w:marBottom w:val="0"/>
      <w:divBdr>
        <w:top w:val="none" w:sz="0" w:space="0" w:color="auto"/>
        <w:left w:val="none" w:sz="0" w:space="0" w:color="auto"/>
        <w:bottom w:val="none" w:sz="0" w:space="0" w:color="auto"/>
        <w:right w:val="none" w:sz="0" w:space="0" w:color="auto"/>
      </w:divBdr>
    </w:div>
    <w:div w:id="1904098837">
      <w:bodyDiv w:val="1"/>
      <w:marLeft w:val="0"/>
      <w:marRight w:val="0"/>
      <w:marTop w:val="0"/>
      <w:marBottom w:val="0"/>
      <w:divBdr>
        <w:top w:val="none" w:sz="0" w:space="0" w:color="auto"/>
        <w:left w:val="none" w:sz="0" w:space="0" w:color="auto"/>
        <w:bottom w:val="none" w:sz="0" w:space="0" w:color="auto"/>
        <w:right w:val="none" w:sz="0" w:space="0" w:color="auto"/>
      </w:divBdr>
    </w:div>
    <w:div w:id="20144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image" Target="cid:image009.png@01D004AC.4C2E1980" TargetMode="External"/><Relationship Id="rId17" Type="http://schemas.openxmlformats.org/officeDocument/2006/relationships/image" Target="media/image5.png"/><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cid:image001.png@01D004AE.F599C3A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cid:image001.png@01D004B3.1507474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13.png@01D004AC.4C2E1980" TargetMode="External"/><Relationship Id="rId22" Type="http://schemas.openxmlformats.org/officeDocument/2006/relationships/image" Target="media/image8.png"/><Relationship Id="rId27" Type="http://schemas.openxmlformats.org/officeDocument/2006/relationships/image" Target="media/image10.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66195325060805E-2"/>
          <c:y val="3.7667581628632298E-2"/>
          <c:w val="0.8213650106703132"/>
          <c:h val="0.50008294764681127"/>
        </c:manualLayout>
      </c:layout>
      <c:barChart>
        <c:barDir val="col"/>
        <c:grouping val="clustered"/>
        <c:varyColors val="0"/>
        <c:ser>
          <c:idx val="0"/>
          <c:order val="0"/>
          <c:tx>
            <c:strRef>
              <c:f>Sheet1!$B$34</c:f>
              <c:strCache>
                <c:ptCount val="1"/>
                <c:pt idx="0">
                  <c:v>2011</c:v>
                </c:pt>
              </c:strCache>
            </c:strRef>
          </c:tx>
          <c:invertIfNegative val="0"/>
          <c:cat>
            <c:strRef>
              <c:f>Sheet1!$A$35:$A$46</c:f>
              <c:strCache>
                <c:ptCount val="12"/>
                <c:pt idx="0">
                  <c:v>Physical</c:v>
                </c:pt>
                <c:pt idx="1">
                  <c:v>Psychiatric</c:v>
                </c:pt>
                <c:pt idx="2">
                  <c:v>Specific Learning/ADD (other than Intellectual)</c:v>
                </c:pt>
                <c:pt idx="3">
                  <c:v>Intellectual</c:v>
                </c:pt>
                <c:pt idx="4">
                  <c:v>Neurological (including Epilepsy &amp; Alzheimer's Disease)</c:v>
                </c:pt>
                <c:pt idx="5">
                  <c:v>Autism (including Asperger's Syndrome)</c:v>
                </c:pt>
                <c:pt idx="6">
                  <c:v>Hearing</c:v>
                </c:pt>
                <c:pt idx="7">
                  <c:v>Acquired brain injury</c:v>
                </c:pt>
                <c:pt idx="8">
                  <c:v>Vision</c:v>
                </c:pt>
                <c:pt idx="9">
                  <c:v>Speech</c:v>
                </c:pt>
                <c:pt idx="10">
                  <c:v>Deafblind (Dual Sensory)</c:v>
                </c:pt>
                <c:pt idx="11">
                  <c:v>Unknown/Not Stated</c:v>
                </c:pt>
              </c:strCache>
            </c:strRef>
          </c:cat>
          <c:val>
            <c:numRef>
              <c:f>Sheet1!$B$35:$B$46</c:f>
              <c:numCache>
                <c:formatCode>General</c:formatCode>
                <c:ptCount val="12"/>
                <c:pt idx="0">
                  <c:v>42.2</c:v>
                </c:pt>
                <c:pt idx="1">
                  <c:v>31.7</c:v>
                </c:pt>
                <c:pt idx="2">
                  <c:v>6.4</c:v>
                </c:pt>
                <c:pt idx="3">
                  <c:v>6.2</c:v>
                </c:pt>
                <c:pt idx="4">
                  <c:v>4.2</c:v>
                </c:pt>
                <c:pt idx="5">
                  <c:v>2.7</c:v>
                </c:pt>
                <c:pt idx="6">
                  <c:v>1.8</c:v>
                </c:pt>
                <c:pt idx="8">
                  <c:v>1.4</c:v>
                </c:pt>
                <c:pt idx="9">
                  <c:v>0.2</c:v>
                </c:pt>
                <c:pt idx="10">
                  <c:v>0.1</c:v>
                </c:pt>
                <c:pt idx="11">
                  <c:v>0</c:v>
                </c:pt>
              </c:numCache>
            </c:numRef>
          </c:val>
          <c:extLst>
            <c:ext xmlns:c16="http://schemas.microsoft.com/office/drawing/2014/chart" uri="{C3380CC4-5D6E-409C-BE32-E72D297353CC}">
              <c16:uniqueId val="{00000000-6AF9-4056-B1A6-2578CE8F35E5}"/>
            </c:ext>
          </c:extLst>
        </c:ser>
        <c:ser>
          <c:idx val="1"/>
          <c:order val="1"/>
          <c:tx>
            <c:strRef>
              <c:f>Sheet1!$C$34</c:f>
              <c:strCache>
                <c:ptCount val="1"/>
                <c:pt idx="0">
                  <c:v>2014</c:v>
                </c:pt>
              </c:strCache>
            </c:strRef>
          </c:tx>
          <c:invertIfNegative val="0"/>
          <c:cat>
            <c:strRef>
              <c:f>Sheet1!$A$35:$A$46</c:f>
              <c:strCache>
                <c:ptCount val="12"/>
                <c:pt idx="0">
                  <c:v>Physical</c:v>
                </c:pt>
                <c:pt idx="1">
                  <c:v>Psychiatric</c:v>
                </c:pt>
                <c:pt idx="2">
                  <c:v>Specific Learning/ADD (other than Intellectual)</c:v>
                </c:pt>
                <c:pt idx="3">
                  <c:v>Intellectual</c:v>
                </c:pt>
                <c:pt idx="4">
                  <c:v>Neurological (including Epilepsy &amp; Alzheimer's Disease)</c:v>
                </c:pt>
                <c:pt idx="5">
                  <c:v>Autism (including Asperger's Syndrome)</c:v>
                </c:pt>
                <c:pt idx="6">
                  <c:v>Hearing</c:v>
                </c:pt>
                <c:pt idx="7">
                  <c:v>Acquired brain injury</c:v>
                </c:pt>
                <c:pt idx="8">
                  <c:v>Vision</c:v>
                </c:pt>
                <c:pt idx="9">
                  <c:v>Speech</c:v>
                </c:pt>
                <c:pt idx="10">
                  <c:v>Deafblind (Dual Sensory)</c:v>
                </c:pt>
                <c:pt idx="11">
                  <c:v>Unknown/Not Stated</c:v>
                </c:pt>
              </c:strCache>
            </c:strRef>
          </c:cat>
          <c:val>
            <c:numRef>
              <c:f>Sheet1!$C$35:$C$46</c:f>
              <c:numCache>
                <c:formatCode>General</c:formatCode>
                <c:ptCount val="12"/>
                <c:pt idx="0">
                  <c:v>43.7</c:v>
                </c:pt>
                <c:pt idx="1">
                  <c:v>34.9</c:v>
                </c:pt>
                <c:pt idx="2">
                  <c:v>4.0999999999999996</c:v>
                </c:pt>
                <c:pt idx="3">
                  <c:v>5</c:v>
                </c:pt>
                <c:pt idx="4">
                  <c:v>4.2</c:v>
                </c:pt>
                <c:pt idx="5">
                  <c:v>3.4</c:v>
                </c:pt>
                <c:pt idx="6">
                  <c:v>1.7</c:v>
                </c:pt>
                <c:pt idx="7">
                  <c:v>1.3</c:v>
                </c:pt>
                <c:pt idx="8">
                  <c:v>1.3</c:v>
                </c:pt>
                <c:pt idx="9">
                  <c:v>0.2</c:v>
                </c:pt>
                <c:pt idx="10">
                  <c:v>0.1</c:v>
                </c:pt>
                <c:pt idx="11">
                  <c:v>0</c:v>
                </c:pt>
              </c:numCache>
            </c:numRef>
          </c:val>
          <c:extLst>
            <c:ext xmlns:c16="http://schemas.microsoft.com/office/drawing/2014/chart" uri="{C3380CC4-5D6E-409C-BE32-E72D297353CC}">
              <c16:uniqueId val="{00000001-6AF9-4056-B1A6-2578CE8F35E5}"/>
            </c:ext>
          </c:extLst>
        </c:ser>
        <c:dLbls>
          <c:showLegendKey val="0"/>
          <c:showVal val="0"/>
          <c:showCatName val="0"/>
          <c:showSerName val="0"/>
          <c:showPercent val="0"/>
          <c:showBubbleSize val="0"/>
        </c:dLbls>
        <c:gapWidth val="150"/>
        <c:axId val="52589696"/>
        <c:axId val="52591232"/>
      </c:barChart>
      <c:catAx>
        <c:axId val="52589696"/>
        <c:scaling>
          <c:orientation val="minMax"/>
        </c:scaling>
        <c:delete val="0"/>
        <c:axPos val="b"/>
        <c:numFmt formatCode="General" sourceLinked="0"/>
        <c:majorTickMark val="out"/>
        <c:minorTickMark val="none"/>
        <c:tickLblPos val="nextTo"/>
        <c:crossAx val="52591232"/>
        <c:crosses val="autoZero"/>
        <c:auto val="1"/>
        <c:lblAlgn val="ctr"/>
        <c:lblOffset val="100"/>
        <c:noMultiLvlLbl val="0"/>
      </c:catAx>
      <c:valAx>
        <c:axId val="52591232"/>
        <c:scaling>
          <c:orientation val="minMax"/>
        </c:scaling>
        <c:delete val="0"/>
        <c:axPos val="l"/>
        <c:majorGridlines/>
        <c:numFmt formatCode="General" sourceLinked="1"/>
        <c:majorTickMark val="out"/>
        <c:minorTickMark val="none"/>
        <c:tickLblPos val="nextTo"/>
        <c:crossAx val="5258969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65507436570428"/>
          <c:y val="0.10232648002333042"/>
          <c:w val="0.77727690288713913"/>
          <c:h val="0.46377770487022457"/>
        </c:manualLayout>
      </c:layout>
      <c:barChart>
        <c:barDir val="col"/>
        <c:grouping val="clustered"/>
        <c:varyColors val="0"/>
        <c:ser>
          <c:idx val="0"/>
          <c:order val="0"/>
          <c:tx>
            <c:strRef>
              <c:f>Sheet1!$B$51</c:f>
              <c:strCache>
                <c:ptCount val="1"/>
                <c:pt idx="0">
                  <c:v>2011</c:v>
                </c:pt>
              </c:strCache>
            </c:strRef>
          </c:tx>
          <c:invertIfNegative val="0"/>
          <c:cat>
            <c:strRef>
              <c:f>Sheet1!$A$52:$A$63</c:f>
              <c:strCache>
                <c:ptCount val="12"/>
                <c:pt idx="0">
                  <c:v>Physical </c:v>
                </c:pt>
                <c:pt idx="1">
                  <c:v>Psychiatric  </c:v>
                </c:pt>
                <c:pt idx="2">
                  <c:v>Specific Learning/ADD (other than Intellectual)</c:v>
                </c:pt>
                <c:pt idx="3">
                  <c:v>Intellectual </c:v>
                </c:pt>
                <c:pt idx="4">
                  <c:v>Neurological (including Epilepsy &amp; Alzheimer’s Disease)</c:v>
                </c:pt>
                <c:pt idx="5">
                  <c:v>Autism (including Asperger’s Syndrome)</c:v>
                </c:pt>
                <c:pt idx="6">
                  <c:v>Hearing </c:v>
                </c:pt>
                <c:pt idx="7">
                  <c:v>Acquired brain injury </c:v>
                </c:pt>
                <c:pt idx="8">
                  <c:v>Vision </c:v>
                </c:pt>
                <c:pt idx="9">
                  <c:v>Speech </c:v>
                </c:pt>
                <c:pt idx="10">
                  <c:v>Deafblind (Dual Sensory) </c:v>
                </c:pt>
                <c:pt idx="11">
                  <c:v>Unknown/Not Stated</c:v>
                </c:pt>
              </c:strCache>
            </c:strRef>
          </c:cat>
          <c:val>
            <c:numRef>
              <c:f>Sheet1!$B$52:$B$63</c:f>
              <c:numCache>
                <c:formatCode>General</c:formatCode>
                <c:ptCount val="12"/>
                <c:pt idx="0">
                  <c:v>27.4</c:v>
                </c:pt>
                <c:pt idx="1">
                  <c:v>33.46</c:v>
                </c:pt>
                <c:pt idx="2">
                  <c:v>9.89</c:v>
                </c:pt>
                <c:pt idx="3">
                  <c:v>11.2</c:v>
                </c:pt>
                <c:pt idx="4">
                  <c:v>5.12</c:v>
                </c:pt>
                <c:pt idx="5">
                  <c:v>4.6399999999999997</c:v>
                </c:pt>
                <c:pt idx="6">
                  <c:v>2.61</c:v>
                </c:pt>
                <c:pt idx="7">
                  <c:v>2.41</c:v>
                </c:pt>
                <c:pt idx="8">
                  <c:v>2.0299999999999998</c:v>
                </c:pt>
                <c:pt idx="9">
                  <c:v>0.32</c:v>
                </c:pt>
                <c:pt idx="10">
                  <c:v>0.15</c:v>
                </c:pt>
                <c:pt idx="11">
                  <c:v>0.77</c:v>
                </c:pt>
              </c:numCache>
            </c:numRef>
          </c:val>
          <c:extLst>
            <c:ext xmlns:c16="http://schemas.microsoft.com/office/drawing/2014/chart" uri="{C3380CC4-5D6E-409C-BE32-E72D297353CC}">
              <c16:uniqueId val="{00000000-CA3A-4199-972B-7CB70A71BBA3}"/>
            </c:ext>
          </c:extLst>
        </c:ser>
        <c:ser>
          <c:idx val="1"/>
          <c:order val="1"/>
          <c:tx>
            <c:strRef>
              <c:f>Sheet1!$C$51</c:f>
              <c:strCache>
                <c:ptCount val="1"/>
                <c:pt idx="0">
                  <c:v>2014</c:v>
                </c:pt>
              </c:strCache>
            </c:strRef>
          </c:tx>
          <c:invertIfNegative val="0"/>
          <c:cat>
            <c:strRef>
              <c:f>Sheet1!$A$52:$A$63</c:f>
              <c:strCache>
                <c:ptCount val="12"/>
                <c:pt idx="0">
                  <c:v>Physical </c:v>
                </c:pt>
                <c:pt idx="1">
                  <c:v>Psychiatric  </c:v>
                </c:pt>
                <c:pt idx="2">
                  <c:v>Specific Learning/ADD (other than Intellectual)</c:v>
                </c:pt>
                <c:pt idx="3">
                  <c:v>Intellectual </c:v>
                </c:pt>
                <c:pt idx="4">
                  <c:v>Neurological (including Epilepsy &amp; Alzheimer’s Disease)</c:v>
                </c:pt>
                <c:pt idx="5">
                  <c:v>Autism (including Asperger’s Syndrome)</c:v>
                </c:pt>
                <c:pt idx="6">
                  <c:v>Hearing </c:v>
                </c:pt>
                <c:pt idx="7">
                  <c:v>Acquired brain injury </c:v>
                </c:pt>
                <c:pt idx="8">
                  <c:v>Vision </c:v>
                </c:pt>
                <c:pt idx="9">
                  <c:v>Speech </c:v>
                </c:pt>
                <c:pt idx="10">
                  <c:v>Deafblind (Dual Sensory) </c:v>
                </c:pt>
                <c:pt idx="11">
                  <c:v>Unknown/Not Stated</c:v>
                </c:pt>
              </c:strCache>
            </c:strRef>
          </c:cat>
          <c:val>
            <c:numRef>
              <c:f>Sheet1!$C$52:$C$63</c:f>
              <c:numCache>
                <c:formatCode>General</c:formatCode>
                <c:ptCount val="12"/>
                <c:pt idx="0">
                  <c:v>30.55</c:v>
                </c:pt>
                <c:pt idx="1">
                  <c:v>35.96</c:v>
                </c:pt>
                <c:pt idx="2">
                  <c:v>6.9</c:v>
                </c:pt>
                <c:pt idx="3">
                  <c:v>9.1</c:v>
                </c:pt>
                <c:pt idx="4">
                  <c:v>4.96</c:v>
                </c:pt>
                <c:pt idx="5">
                  <c:v>6.06</c:v>
                </c:pt>
                <c:pt idx="6">
                  <c:v>2.35</c:v>
                </c:pt>
                <c:pt idx="7">
                  <c:v>1.96</c:v>
                </c:pt>
                <c:pt idx="8">
                  <c:v>1.7</c:v>
                </c:pt>
                <c:pt idx="9">
                  <c:v>0.28000000000000003</c:v>
                </c:pt>
                <c:pt idx="10">
                  <c:v>0.16</c:v>
                </c:pt>
                <c:pt idx="11">
                  <c:v>0.03</c:v>
                </c:pt>
              </c:numCache>
            </c:numRef>
          </c:val>
          <c:extLst>
            <c:ext xmlns:c16="http://schemas.microsoft.com/office/drawing/2014/chart" uri="{C3380CC4-5D6E-409C-BE32-E72D297353CC}">
              <c16:uniqueId val="{00000001-CA3A-4199-972B-7CB70A71BBA3}"/>
            </c:ext>
          </c:extLst>
        </c:ser>
        <c:dLbls>
          <c:showLegendKey val="0"/>
          <c:showVal val="0"/>
          <c:showCatName val="0"/>
          <c:showSerName val="0"/>
          <c:showPercent val="0"/>
          <c:showBubbleSize val="0"/>
        </c:dLbls>
        <c:gapWidth val="150"/>
        <c:axId val="52624768"/>
        <c:axId val="53036160"/>
      </c:barChart>
      <c:catAx>
        <c:axId val="52624768"/>
        <c:scaling>
          <c:orientation val="minMax"/>
        </c:scaling>
        <c:delete val="0"/>
        <c:axPos val="b"/>
        <c:numFmt formatCode="General" sourceLinked="0"/>
        <c:majorTickMark val="out"/>
        <c:minorTickMark val="none"/>
        <c:tickLblPos val="nextTo"/>
        <c:crossAx val="53036160"/>
        <c:crosses val="autoZero"/>
        <c:auto val="1"/>
        <c:lblAlgn val="ctr"/>
        <c:lblOffset val="100"/>
        <c:noMultiLvlLbl val="0"/>
      </c:catAx>
      <c:valAx>
        <c:axId val="53036160"/>
        <c:scaling>
          <c:orientation val="minMax"/>
        </c:scaling>
        <c:delete val="0"/>
        <c:axPos val="l"/>
        <c:majorGridlines/>
        <c:numFmt formatCode="General" sourceLinked="1"/>
        <c:majorTickMark val="out"/>
        <c:minorTickMark val="none"/>
        <c:tickLblPos val="nextTo"/>
        <c:crossAx val="52624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B1C2-1347-4E85-9A29-89668DA041C4}">
  <ds:schemaRefs>
    <ds:schemaRef ds:uri="http://schemas.microsoft.com/sharepoint/v3/contenttype/forms"/>
  </ds:schemaRefs>
</ds:datastoreItem>
</file>

<file path=customXml/itemProps2.xml><?xml version="1.0" encoding="utf-8"?>
<ds:datastoreItem xmlns:ds="http://schemas.openxmlformats.org/officeDocument/2006/customXml" ds:itemID="{823F559B-FCCB-4A1B-89F0-C3E1FB20B059}">
  <ds:schemaRefs>
    <ds:schemaRef ds:uri="http://schemas.microsoft.com/office/2006/documentManagement/types"/>
    <ds:schemaRef ds:uri="http://schemas.microsoft.com/office/2006/metadata/properties"/>
    <ds:schemaRef ds:uri="http://purl.org/dc/elements/1.1/"/>
    <ds:schemaRef ds:uri="e872ecc1-1de2-4ed5-9514-baa61e10cddc"/>
    <ds:schemaRef ds:uri="http://schemas.openxmlformats.org/package/2006/metadata/core-properties"/>
    <ds:schemaRef ds:uri="http://purl.org/dc/terms/"/>
    <ds:schemaRef ds:uri="http://schemas.microsoft.com/office/infopath/2007/PartnerControls"/>
    <ds:schemaRef ds:uri="cf74b825-e65b-4c7f-a6a5-200820da80ca"/>
    <ds:schemaRef ds:uri="http://www.w3.org/XML/1998/namespace"/>
    <ds:schemaRef ds:uri="http://purl.org/dc/dcmitype/"/>
  </ds:schemaRefs>
</ds:datastoreItem>
</file>

<file path=customXml/itemProps3.xml><?xml version="1.0" encoding="utf-8"?>
<ds:datastoreItem xmlns:ds="http://schemas.openxmlformats.org/officeDocument/2006/customXml" ds:itemID="{1C80BD82-5991-4723-98AF-D0BC35ACE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6F76B-94DF-4266-81D7-F1E70845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7913</Words>
  <Characters>45106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Kyriacou</dc:creator>
  <cp:lastModifiedBy>Alisa Maxted</cp:lastModifiedBy>
  <cp:revision>2</cp:revision>
  <cp:lastPrinted>2014-11-21T00:58:00Z</cp:lastPrinted>
  <dcterms:created xsi:type="dcterms:W3CDTF">2020-09-07T23:31:00Z</dcterms:created>
  <dcterms:modified xsi:type="dcterms:W3CDTF">2020-09-07T23:31:00Z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