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6955" w14:textId="77777777" w:rsidR="00390160" w:rsidRPr="00390160" w:rsidRDefault="00390160" w:rsidP="00390160">
      <w:pPr>
        <w:pStyle w:val="Title"/>
      </w:pPr>
      <w:r w:rsidRPr="00390160">
        <w:t>National Disability Services</w:t>
      </w:r>
    </w:p>
    <w:p w14:paraId="248CD0DA" w14:textId="77777777" w:rsidR="00390160" w:rsidRPr="00390160" w:rsidRDefault="00390160" w:rsidP="00390160">
      <w:pPr>
        <w:pStyle w:val="Title"/>
      </w:pPr>
      <w:r w:rsidRPr="00390160">
        <w:t>Gender Pay Gap Report</w:t>
      </w:r>
    </w:p>
    <w:p w14:paraId="4934EF1F" w14:textId="77777777" w:rsidR="00390160" w:rsidRDefault="00390160" w:rsidP="00390160">
      <w:pPr>
        <w:pStyle w:val="Title"/>
      </w:pPr>
      <w:r w:rsidRPr="00390160">
        <w:t>2022 – 2023</w:t>
      </w:r>
    </w:p>
    <w:p w14:paraId="0F1C49C7" w14:textId="060C9283" w:rsidR="00BA11D7" w:rsidRDefault="00390160" w:rsidP="00390160">
      <w:pPr>
        <w:pStyle w:val="Title"/>
      </w:pPr>
      <w:r>
        <w:t>nds.org.au</w:t>
      </w:r>
    </w:p>
    <w:p w14:paraId="2B5D5075" w14:textId="77777777" w:rsidR="00BA11D7" w:rsidRDefault="00BA11D7">
      <w:pPr>
        <w:spacing w:before="0" w:after="160" w:line="259" w:lineRule="auto"/>
        <w:rPr>
          <w:rFonts w:asciiTheme="majorHAnsi" w:eastAsiaTheme="majorEastAsia" w:hAnsiTheme="majorHAnsi" w:cstheme="majorBidi"/>
          <w:b/>
          <w:spacing w:val="-10"/>
          <w:kern w:val="28"/>
          <w:sz w:val="44"/>
          <w:szCs w:val="56"/>
        </w:rPr>
      </w:pPr>
      <w:r>
        <w:br w:type="page"/>
      </w:r>
    </w:p>
    <w:p w14:paraId="12D5363F" w14:textId="5B37CF83" w:rsidR="00390160" w:rsidRDefault="00390160" w:rsidP="00390160">
      <w:pPr>
        <w:spacing w:after="240"/>
        <w:rPr>
          <w:b/>
          <w:bCs/>
          <w:sz w:val="36"/>
          <w:szCs w:val="36"/>
        </w:rPr>
      </w:pPr>
      <w:r w:rsidRPr="00390160">
        <w:rPr>
          <w:b/>
          <w:bCs/>
          <w:sz w:val="36"/>
          <w:szCs w:val="36"/>
        </w:rPr>
        <w:lastRenderedPageBreak/>
        <w:t>Contents</w:t>
      </w:r>
    </w:p>
    <w:p w14:paraId="3B42DDFC" w14:textId="610DDB98" w:rsidR="00F51019" w:rsidRDefault="003B4E48">
      <w:pPr>
        <w:pStyle w:val="TOC1"/>
        <w:rPr>
          <w:rFonts w:asciiTheme="minorHAnsi" w:hAnsiTheme="minorHAnsi"/>
          <w:kern w:val="2"/>
          <w:sz w:val="22"/>
          <w:szCs w:val="22"/>
          <w:lang w:eastAsia="en-AU"/>
          <w14:ligatures w14:val="standardContextual"/>
        </w:rPr>
      </w:pPr>
      <w:r>
        <w:fldChar w:fldCharType="begin"/>
      </w:r>
      <w:r>
        <w:instrText xml:space="preserve"> TOC \o "1-3" \h \z \u </w:instrText>
      </w:r>
      <w:r>
        <w:fldChar w:fldCharType="separate"/>
      </w:r>
      <w:hyperlink w:anchor="_Toc160626409" w:history="1">
        <w:r w:rsidR="00F51019" w:rsidRPr="00254C4C">
          <w:rPr>
            <w:rStyle w:val="Hyperlink"/>
          </w:rPr>
          <w:t>CEO’s Foreword</w:t>
        </w:r>
        <w:r w:rsidR="00F51019">
          <w:rPr>
            <w:webHidden/>
          </w:rPr>
          <w:tab/>
        </w:r>
        <w:r w:rsidR="00F51019">
          <w:rPr>
            <w:webHidden/>
          </w:rPr>
          <w:fldChar w:fldCharType="begin"/>
        </w:r>
        <w:r w:rsidR="00F51019">
          <w:rPr>
            <w:webHidden/>
          </w:rPr>
          <w:instrText xml:space="preserve"> PAGEREF _Toc160626409 \h </w:instrText>
        </w:r>
        <w:r w:rsidR="00F51019">
          <w:rPr>
            <w:webHidden/>
          </w:rPr>
        </w:r>
        <w:r w:rsidR="00F51019">
          <w:rPr>
            <w:webHidden/>
          </w:rPr>
          <w:fldChar w:fldCharType="separate"/>
        </w:r>
        <w:r w:rsidR="00F51019">
          <w:rPr>
            <w:webHidden/>
          </w:rPr>
          <w:t>3</w:t>
        </w:r>
        <w:r w:rsidR="00F51019">
          <w:rPr>
            <w:webHidden/>
          </w:rPr>
          <w:fldChar w:fldCharType="end"/>
        </w:r>
      </w:hyperlink>
    </w:p>
    <w:p w14:paraId="0F4AE4BE" w14:textId="38F0D83E" w:rsidR="00F51019" w:rsidRDefault="00000000">
      <w:pPr>
        <w:pStyle w:val="TOC1"/>
        <w:rPr>
          <w:rFonts w:asciiTheme="minorHAnsi" w:hAnsiTheme="minorHAnsi"/>
          <w:kern w:val="2"/>
          <w:sz w:val="22"/>
          <w:szCs w:val="22"/>
          <w:lang w:eastAsia="en-AU"/>
          <w14:ligatures w14:val="standardContextual"/>
        </w:rPr>
      </w:pPr>
      <w:hyperlink w:anchor="_Toc160626410" w:history="1">
        <w:r w:rsidR="00F51019" w:rsidRPr="00254C4C">
          <w:rPr>
            <w:rStyle w:val="Hyperlink"/>
          </w:rPr>
          <w:t>What is the gender pay gap?</w:t>
        </w:r>
        <w:r w:rsidR="00F51019">
          <w:rPr>
            <w:webHidden/>
          </w:rPr>
          <w:tab/>
        </w:r>
        <w:r w:rsidR="00F51019">
          <w:rPr>
            <w:webHidden/>
          </w:rPr>
          <w:fldChar w:fldCharType="begin"/>
        </w:r>
        <w:r w:rsidR="00F51019">
          <w:rPr>
            <w:webHidden/>
          </w:rPr>
          <w:instrText xml:space="preserve"> PAGEREF _Toc160626410 \h </w:instrText>
        </w:r>
        <w:r w:rsidR="00F51019">
          <w:rPr>
            <w:webHidden/>
          </w:rPr>
        </w:r>
        <w:r w:rsidR="00F51019">
          <w:rPr>
            <w:webHidden/>
          </w:rPr>
          <w:fldChar w:fldCharType="separate"/>
        </w:r>
        <w:r w:rsidR="00F51019">
          <w:rPr>
            <w:webHidden/>
          </w:rPr>
          <w:t>5</w:t>
        </w:r>
        <w:r w:rsidR="00F51019">
          <w:rPr>
            <w:webHidden/>
          </w:rPr>
          <w:fldChar w:fldCharType="end"/>
        </w:r>
      </w:hyperlink>
    </w:p>
    <w:p w14:paraId="4735F87B" w14:textId="7437C43E" w:rsidR="00F51019" w:rsidRDefault="00000000">
      <w:pPr>
        <w:pStyle w:val="TOC1"/>
        <w:rPr>
          <w:rFonts w:asciiTheme="minorHAnsi" w:hAnsiTheme="minorHAnsi"/>
          <w:kern w:val="2"/>
          <w:sz w:val="22"/>
          <w:szCs w:val="22"/>
          <w:lang w:eastAsia="en-AU"/>
          <w14:ligatures w14:val="standardContextual"/>
        </w:rPr>
      </w:pPr>
      <w:hyperlink w:anchor="_Toc160626411" w:history="1">
        <w:r w:rsidR="00F51019" w:rsidRPr="00254C4C">
          <w:rPr>
            <w:rStyle w:val="Hyperlink"/>
          </w:rPr>
          <w:t>NDS Gender Pay Gap</w:t>
        </w:r>
        <w:r w:rsidR="00F51019">
          <w:rPr>
            <w:webHidden/>
          </w:rPr>
          <w:tab/>
        </w:r>
        <w:r w:rsidR="00F51019">
          <w:rPr>
            <w:webHidden/>
          </w:rPr>
          <w:fldChar w:fldCharType="begin"/>
        </w:r>
        <w:r w:rsidR="00F51019">
          <w:rPr>
            <w:webHidden/>
          </w:rPr>
          <w:instrText xml:space="preserve"> PAGEREF _Toc160626411 \h </w:instrText>
        </w:r>
        <w:r w:rsidR="00F51019">
          <w:rPr>
            <w:webHidden/>
          </w:rPr>
        </w:r>
        <w:r w:rsidR="00F51019">
          <w:rPr>
            <w:webHidden/>
          </w:rPr>
          <w:fldChar w:fldCharType="separate"/>
        </w:r>
        <w:r w:rsidR="00F51019">
          <w:rPr>
            <w:webHidden/>
          </w:rPr>
          <w:t>6</w:t>
        </w:r>
        <w:r w:rsidR="00F51019">
          <w:rPr>
            <w:webHidden/>
          </w:rPr>
          <w:fldChar w:fldCharType="end"/>
        </w:r>
      </w:hyperlink>
    </w:p>
    <w:p w14:paraId="7C8A6E02" w14:textId="7019A088" w:rsidR="00F51019" w:rsidRDefault="00000000">
      <w:pPr>
        <w:pStyle w:val="TOC1"/>
        <w:rPr>
          <w:rFonts w:asciiTheme="minorHAnsi" w:hAnsiTheme="minorHAnsi"/>
          <w:kern w:val="2"/>
          <w:sz w:val="22"/>
          <w:szCs w:val="22"/>
          <w:lang w:eastAsia="en-AU"/>
          <w14:ligatures w14:val="standardContextual"/>
        </w:rPr>
      </w:pPr>
      <w:hyperlink w:anchor="_Toc160626412" w:history="1">
        <w:r w:rsidR="00F51019" w:rsidRPr="00254C4C">
          <w:rPr>
            <w:rStyle w:val="Hyperlink"/>
          </w:rPr>
          <w:t>Gender composition by pay quartile</w:t>
        </w:r>
        <w:r w:rsidR="00F51019">
          <w:rPr>
            <w:webHidden/>
          </w:rPr>
          <w:tab/>
        </w:r>
        <w:r w:rsidR="00F51019">
          <w:rPr>
            <w:webHidden/>
          </w:rPr>
          <w:fldChar w:fldCharType="begin"/>
        </w:r>
        <w:r w:rsidR="00F51019">
          <w:rPr>
            <w:webHidden/>
          </w:rPr>
          <w:instrText xml:space="preserve"> PAGEREF _Toc160626412 \h </w:instrText>
        </w:r>
        <w:r w:rsidR="00F51019">
          <w:rPr>
            <w:webHidden/>
          </w:rPr>
        </w:r>
        <w:r w:rsidR="00F51019">
          <w:rPr>
            <w:webHidden/>
          </w:rPr>
          <w:fldChar w:fldCharType="separate"/>
        </w:r>
        <w:r w:rsidR="00F51019">
          <w:rPr>
            <w:webHidden/>
          </w:rPr>
          <w:t>7</w:t>
        </w:r>
        <w:r w:rsidR="00F51019">
          <w:rPr>
            <w:webHidden/>
          </w:rPr>
          <w:fldChar w:fldCharType="end"/>
        </w:r>
      </w:hyperlink>
    </w:p>
    <w:p w14:paraId="65AB2F12" w14:textId="513D67F0" w:rsidR="00F51019" w:rsidRDefault="00000000">
      <w:pPr>
        <w:pStyle w:val="TOC1"/>
        <w:rPr>
          <w:rFonts w:asciiTheme="minorHAnsi" w:hAnsiTheme="minorHAnsi"/>
          <w:kern w:val="2"/>
          <w:sz w:val="22"/>
          <w:szCs w:val="22"/>
          <w:lang w:eastAsia="en-AU"/>
          <w14:ligatures w14:val="standardContextual"/>
        </w:rPr>
      </w:pPr>
      <w:hyperlink w:anchor="_Toc160626413" w:history="1">
        <w:r w:rsidR="00F51019" w:rsidRPr="00254C4C">
          <w:rPr>
            <w:rStyle w:val="Hyperlink"/>
          </w:rPr>
          <w:t>Further data for analysis</w:t>
        </w:r>
        <w:r w:rsidR="00F51019">
          <w:rPr>
            <w:webHidden/>
          </w:rPr>
          <w:tab/>
        </w:r>
        <w:r w:rsidR="00F51019">
          <w:rPr>
            <w:webHidden/>
          </w:rPr>
          <w:fldChar w:fldCharType="begin"/>
        </w:r>
        <w:r w:rsidR="00F51019">
          <w:rPr>
            <w:webHidden/>
          </w:rPr>
          <w:instrText xml:space="preserve"> PAGEREF _Toc160626413 \h </w:instrText>
        </w:r>
        <w:r w:rsidR="00F51019">
          <w:rPr>
            <w:webHidden/>
          </w:rPr>
        </w:r>
        <w:r w:rsidR="00F51019">
          <w:rPr>
            <w:webHidden/>
          </w:rPr>
          <w:fldChar w:fldCharType="separate"/>
        </w:r>
        <w:r w:rsidR="00F51019">
          <w:rPr>
            <w:webHidden/>
          </w:rPr>
          <w:t>8</w:t>
        </w:r>
        <w:r w:rsidR="00F51019">
          <w:rPr>
            <w:webHidden/>
          </w:rPr>
          <w:fldChar w:fldCharType="end"/>
        </w:r>
      </w:hyperlink>
    </w:p>
    <w:p w14:paraId="7339B88D" w14:textId="5A438EED" w:rsidR="00F51019" w:rsidRDefault="00000000">
      <w:pPr>
        <w:pStyle w:val="TOC1"/>
        <w:rPr>
          <w:rFonts w:asciiTheme="minorHAnsi" w:hAnsiTheme="minorHAnsi"/>
          <w:kern w:val="2"/>
          <w:sz w:val="22"/>
          <w:szCs w:val="22"/>
          <w:lang w:eastAsia="en-AU"/>
          <w14:ligatures w14:val="standardContextual"/>
        </w:rPr>
      </w:pPr>
      <w:hyperlink w:anchor="_Toc160626414" w:history="1">
        <w:r w:rsidR="00F51019" w:rsidRPr="00254C4C">
          <w:rPr>
            <w:rStyle w:val="Hyperlink"/>
          </w:rPr>
          <w:t>Our actions</w:t>
        </w:r>
        <w:r w:rsidR="00F51019">
          <w:rPr>
            <w:webHidden/>
          </w:rPr>
          <w:tab/>
        </w:r>
        <w:r w:rsidR="00F51019">
          <w:rPr>
            <w:webHidden/>
          </w:rPr>
          <w:fldChar w:fldCharType="begin"/>
        </w:r>
        <w:r w:rsidR="00F51019">
          <w:rPr>
            <w:webHidden/>
          </w:rPr>
          <w:instrText xml:space="preserve"> PAGEREF _Toc160626414 \h </w:instrText>
        </w:r>
        <w:r w:rsidR="00F51019">
          <w:rPr>
            <w:webHidden/>
          </w:rPr>
        </w:r>
        <w:r w:rsidR="00F51019">
          <w:rPr>
            <w:webHidden/>
          </w:rPr>
          <w:fldChar w:fldCharType="separate"/>
        </w:r>
        <w:r w:rsidR="00F51019">
          <w:rPr>
            <w:webHidden/>
          </w:rPr>
          <w:t>9</w:t>
        </w:r>
        <w:r w:rsidR="00F51019">
          <w:rPr>
            <w:webHidden/>
          </w:rPr>
          <w:fldChar w:fldCharType="end"/>
        </w:r>
      </w:hyperlink>
    </w:p>
    <w:p w14:paraId="0869F276" w14:textId="00F7432A" w:rsidR="00F51019" w:rsidRDefault="00000000">
      <w:pPr>
        <w:pStyle w:val="TOC2"/>
        <w:tabs>
          <w:tab w:val="right" w:leader="dot" w:pos="8296"/>
        </w:tabs>
        <w:rPr>
          <w:rFonts w:asciiTheme="minorHAnsi" w:hAnsiTheme="minorHAnsi"/>
          <w:noProof/>
          <w:kern w:val="2"/>
          <w:sz w:val="22"/>
          <w:szCs w:val="22"/>
          <w:lang w:eastAsia="en-AU"/>
          <w14:ligatures w14:val="standardContextual"/>
        </w:rPr>
      </w:pPr>
      <w:hyperlink w:anchor="_Toc160626415" w:history="1">
        <w:r w:rsidR="00F51019" w:rsidRPr="00254C4C">
          <w:rPr>
            <w:rStyle w:val="Hyperlink"/>
            <w:noProof/>
          </w:rPr>
          <w:t>Recruitment</w:t>
        </w:r>
        <w:r w:rsidR="00F51019">
          <w:rPr>
            <w:noProof/>
            <w:webHidden/>
          </w:rPr>
          <w:tab/>
        </w:r>
        <w:r w:rsidR="00F51019">
          <w:rPr>
            <w:noProof/>
            <w:webHidden/>
          </w:rPr>
          <w:fldChar w:fldCharType="begin"/>
        </w:r>
        <w:r w:rsidR="00F51019">
          <w:rPr>
            <w:noProof/>
            <w:webHidden/>
          </w:rPr>
          <w:instrText xml:space="preserve"> PAGEREF _Toc160626415 \h </w:instrText>
        </w:r>
        <w:r w:rsidR="00F51019">
          <w:rPr>
            <w:noProof/>
            <w:webHidden/>
          </w:rPr>
        </w:r>
        <w:r w:rsidR="00F51019">
          <w:rPr>
            <w:noProof/>
            <w:webHidden/>
          </w:rPr>
          <w:fldChar w:fldCharType="separate"/>
        </w:r>
        <w:r w:rsidR="00F51019">
          <w:rPr>
            <w:noProof/>
            <w:webHidden/>
          </w:rPr>
          <w:t>10</w:t>
        </w:r>
        <w:r w:rsidR="00F51019">
          <w:rPr>
            <w:noProof/>
            <w:webHidden/>
          </w:rPr>
          <w:fldChar w:fldCharType="end"/>
        </w:r>
      </w:hyperlink>
    </w:p>
    <w:p w14:paraId="63874872" w14:textId="3FFB799A" w:rsidR="00F51019" w:rsidRDefault="00000000">
      <w:pPr>
        <w:pStyle w:val="TOC2"/>
        <w:tabs>
          <w:tab w:val="right" w:leader="dot" w:pos="8296"/>
        </w:tabs>
        <w:rPr>
          <w:rFonts w:asciiTheme="minorHAnsi" w:hAnsiTheme="minorHAnsi"/>
          <w:noProof/>
          <w:kern w:val="2"/>
          <w:sz w:val="22"/>
          <w:szCs w:val="22"/>
          <w:lang w:eastAsia="en-AU"/>
          <w14:ligatures w14:val="standardContextual"/>
        </w:rPr>
      </w:pPr>
      <w:hyperlink w:anchor="_Toc160626416" w:history="1">
        <w:r w:rsidR="00F51019" w:rsidRPr="00254C4C">
          <w:rPr>
            <w:rStyle w:val="Hyperlink"/>
            <w:noProof/>
          </w:rPr>
          <w:t>Development</w:t>
        </w:r>
        <w:r w:rsidR="00F51019">
          <w:rPr>
            <w:noProof/>
            <w:webHidden/>
          </w:rPr>
          <w:tab/>
        </w:r>
        <w:r w:rsidR="00F51019">
          <w:rPr>
            <w:noProof/>
            <w:webHidden/>
          </w:rPr>
          <w:fldChar w:fldCharType="begin"/>
        </w:r>
        <w:r w:rsidR="00F51019">
          <w:rPr>
            <w:noProof/>
            <w:webHidden/>
          </w:rPr>
          <w:instrText xml:space="preserve"> PAGEREF _Toc160626416 \h </w:instrText>
        </w:r>
        <w:r w:rsidR="00F51019">
          <w:rPr>
            <w:noProof/>
            <w:webHidden/>
          </w:rPr>
        </w:r>
        <w:r w:rsidR="00F51019">
          <w:rPr>
            <w:noProof/>
            <w:webHidden/>
          </w:rPr>
          <w:fldChar w:fldCharType="separate"/>
        </w:r>
        <w:r w:rsidR="00F51019">
          <w:rPr>
            <w:noProof/>
            <w:webHidden/>
          </w:rPr>
          <w:t>10</w:t>
        </w:r>
        <w:r w:rsidR="00F51019">
          <w:rPr>
            <w:noProof/>
            <w:webHidden/>
          </w:rPr>
          <w:fldChar w:fldCharType="end"/>
        </w:r>
      </w:hyperlink>
    </w:p>
    <w:p w14:paraId="57F3245D" w14:textId="4028793C" w:rsidR="00F51019" w:rsidRDefault="00000000">
      <w:pPr>
        <w:pStyle w:val="TOC2"/>
        <w:tabs>
          <w:tab w:val="right" w:leader="dot" w:pos="8296"/>
        </w:tabs>
        <w:rPr>
          <w:rFonts w:asciiTheme="minorHAnsi" w:hAnsiTheme="minorHAnsi"/>
          <w:noProof/>
          <w:kern w:val="2"/>
          <w:sz w:val="22"/>
          <w:szCs w:val="22"/>
          <w:lang w:eastAsia="en-AU"/>
          <w14:ligatures w14:val="standardContextual"/>
        </w:rPr>
      </w:pPr>
      <w:hyperlink w:anchor="_Toc160626417" w:history="1">
        <w:r w:rsidR="00F51019" w:rsidRPr="00254C4C">
          <w:rPr>
            <w:rStyle w:val="Hyperlink"/>
            <w:noProof/>
          </w:rPr>
          <w:t>Building a diverse culture</w:t>
        </w:r>
        <w:r w:rsidR="00F51019">
          <w:rPr>
            <w:noProof/>
            <w:webHidden/>
          </w:rPr>
          <w:tab/>
        </w:r>
        <w:r w:rsidR="00F51019">
          <w:rPr>
            <w:noProof/>
            <w:webHidden/>
          </w:rPr>
          <w:fldChar w:fldCharType="begin"/>
        </w:r>
        <w:r w:rsidR="00F51019">
          <w:rPr>
            <w:noProof/>
            <w:webHidden/>
          </w:rPr>
          <w:instrText xml:space="preserve"> PAGEREF _Toc160626417 \h </w:instrText>
        </w:r>
        <w:r w:rsidR="00F51019">
          <w:rPr>
            <w:noProof/>
            <w:webHidden/>
          </w:rPr>
        </w:r>
        <w:r w:rsidR="00F51019">
          <w:rPr>
            <w:noProof/>
            <w:webHidden/>
          </w:rPr>
          <w:fldChar w:fldCharType="separate"/>
        </w:r>
        <w:r w:rsidR="00F51019">
          <w:rPr>
            <w:noProof/>
            <w:webHidden/>
          </w:rPr>
          <w:t>10</w:t>
        </w:r>
        <w:r w:rsidR="00F51019">
          <w:rPr>
            <w:noProof/>
            <w:webHidden/>
          </w:rPr>
          <w:fldChar w:fldCharType="end"/>
        </w:r>
      </w:hyperlink>
    </w:p>
    <w:p w14:paraId="444E4941" w14:textId="25C6F3A8" w:rsidR="00BA11D7" w:rsidRDefault="003B4E48" w:rsidP="00390160">
      <w:pPr>
        <w:pStyle w:val="BodyText"/>
      </w:pPr>
      <w:r>
        <w:fldChar w:fldCharType="end"/>
      </w:r>
    </w:p>
    <w:p w14:paraId="7435C2C9" w14:textId="77777777" w:rsidR="00BA11D7" w:rsidRDefault="00BA11D7">
      <w:pPr>
        <w:spacing w:before="0" w:after="160" w:line="259" w:lineRule="auto"/>
        <w:rPr>
          <w:rFonts w:eastAsia="Calibri" w:cs="Calibri"/>
          <w:lang w:val="en-US"/>
        </w:rPr>
      </w:pPr>
      <w:r>
        <w:br w:type="page"/>
      </w:r>
    </w:p>
    <w:p w14:paraId="0A5D0BD2" w14:textId="4CE4004E" w:rsidR="00390160" w:rsidRDefault="00390160" w:rsidP="00390160">
      <w:pPr>
        <w:pStyle w:val="Heading1"/>
        <w:keepNext/>
        <w:spacing w:before="240"/>
        <w:ind w:left="720" w:hanging="720"/>
      </w:pPr>
      <w:bookmarkStart w:id="0" w:name="_Toc160626409"/>
      <w:r>
        <w:lastRenderedPageBreak/>
        <w:t>C</w:t>
      </w:r>
      <w:r w:rsidR="008060D3">
        <w:t>EO</w:t>
      </w:r>
      <w:r>
        <w:t>’s Foreword</w:t>
      </w:r>
      <w:bookmarkEnd w:id="0"/>
    </w:p>
    <w:p w14:paraId="2E9B3C86" w14:textId="77777777" w:rsidR="00390160" w:rsidRDefault="00390160" w:rsidP="00390160">
      <w:pPr>
        <w:pStyle w:val="BodyText"/>
      </w:pPr>
      <w:r>
        <w:t xml:space="preserve">Diversity, </w:t>
      </w:r>
      <w:proofErr w:type="gramStart"/>
      <w:r>
        <w:t>inclusion</w:t>
      </w:r>
      <w:proofErr w:type="gramEnd"/>
      <w:r>
        <w:t xml:space="preserve"> and equality never stray far from our thinking at NDS. For a peak body for disability providers, they are fundamental principles, the bedrock of every policy position. Whether we are looking out to the disability sector or inwardly to our own structure and governance, our view is always through a prism of fairness and inclusion.</w:t>
      </w:r>
    </w:p>
    <w:p w14:paraId="146DB43A" w14:textId="77777777" w:rsidR="00390160" w:rsidRDefault="00390160" w:rsidP="00390160">
      <w:pPr>
        <w:pStyle w:val="BodyText"/>
      </w:pPr>
      <w:r>
        <w:t xml:space="preserve">Each year, we complete the Gender Equality Census for the Workplace Gender Equality Agency (WGEA) to track gender pay gaps in our </w:t>
      </w:r>
      <w:proofErr w:type="spellStart"/>
      <w:r>
        <w:t>organisation</w:t>
      </w:r>
      <w:proofErr w:type="spellEnd"/>
      <w:r>
        <w:t xml:space="preserve">. The survey examines the differences between men and women in average earnings across the </w:t>
      </w:r>
      <w:proofErr w:type="spellStart"/>
      <w:r>
        <w:t>organisation</w:t>
      </w:r>
      <w:proofErr w:type="spellEnd"/>
      <w:r>
        <w:t>. We are looking to see if we are employing a disproportionately higher number of men in better-paid jobs compared to lower-paid jobs. If we are, then we need to do something about it.</w:t>
      </w:r>
    </w:p>
    <w:p w14:paraId="4FA7DCDA" w14:textId="77777777" w:rsidR="00390160" w:rsidRDefault="00390160" w:rsidP="00390160">
      <w:pPr>
        <w:pStyle w:val="BodyText"/>
      </w:pPr>
      <w:r>
        <w:t>This year’s survey brought us good news, but with a hint of caution. The good news is that our total remuneration median pay gap is zero — which means, if you rank women and men for pay from highest to lowest, the middle-ranking woman at NDS makes the same money as the middle-ranking man. Since the median gap in our industry runs at six per cent and the national gap is 19 per cent, we are doing well.</w:t>
      </w:r>
    </w:p>
    <w:p w14:paraId="75D0717B" w14:textId="77777777" w:rsidR="00390160" w:rsidRDefault="00390160" w:rsidP="00390160">
      <w:pPr>
        <w:pStyle w:val="BodyText"/>
      </w:pPr>
      <w:r>
        <w:t>Nor are we having trouble attracting women to work for us. Indeed, with 81 percent of our workforce being women, we employ a higher proportion of women than the average across in our sector (74 per cent). The strong representation of women can be found up and down the pay scale: it’s 88 per cent in the lowest quartile and 69 per cent among the higher management positions.</w:t>
      </w:r>
    </w:p>
    <w:p w14:paraId="589E772A" w14:textId="77777777" w:rsidR="00390160" w:rsidRDefault="00390160" w:rsidP="00390160">
      <w:pPr>
        <w:pStyle w:val="BodyText"/>
      </w:pPr>
      <w:r>
        <w:t>But there are issues that we need to keep an eye on. First, there is a smaller proportion of men holding part-time positions. Our flexible work practices make NDS an attractive employer — for men and women. However, there is greater demand from women for part-time roles.</w:t>
      </w:r>
    </w:p>
    <w:p w14:paraId="524E6D49" w14:textId="77777777" w:rsidR="00390160" w:rsidRDefault="00390160" w:rsidP="00390160">
      <w:pPr>
        <w:pStyle w:val="BodyText"/>
      </w:pPr>
      <w:r>
        <w:t xml:space="preserve">Of course, this goes to broader social attitudes in how we see women’s employment and careers, that women are expected to sacrifice hours and </w:t>
      </w:r>
      <w:r>
        <w:lastRenderedPageBreak/>
        <w:t>seek flexibility at work to care for people at home. Men don’t yet have the same expectations. But if we want this to change, we need to be part of the solution.</w:t>
      </w:r>
    </w:p>
    <w:p w14:paraId="25C359FF" w14:textId="77777777" w:rsidR="00390160" w:rsidRDefault="00390160" w:rsidP="00390160">
      <w:pPr>
        <w:pStyle w:val="BodyText"/>
      </w:pPr>
      <w:r>
        <w:t>The second issue is our appointment over the past few years of more men in management. This shifted the balance. Two years ago, 83 per cent of our key management roles were taken by women; that dropped to 67 per cent last year. In other management roles, 89 per cent women in 2020–21 fell to 76 per cent by 2022–23. These falls represent just a few extra appointments, but they can have a large effect on the mean, rather than the median, gender pay gap, which we will be required to report to the WGEA from next year.</w:t>
      </w:r>
    </w:p>
    <w:p w14:paraId="52604242" w14:textId="77777777" w:rsidR="00390160" w:rsidRDefault="00390160" w:rsidP="00390160">
      <w:pPr>
        <w:pStyle w:val="BodyText"/>
      </w:pPr>
      <w:r>
        <w:t>I am proud of how many women work for NDS and how so many of our managers are women – in both cases we are above average for the sector. But this survey shows how delicate the gender pay balance is – that small changes can tip the scales. So, we need to act.</w:t>
      </w:r>
    </w:p>
    <w:p w14:paraId="6528810B" w14:textId="1799E364" w:rsidR="00390160" w:rsidRDefault="00390160" w:rsidP="00390160">
      <w:pPr>
        <w:pStyle w:val="BodyText"/>
      </w:pPr>
      <w:r>
        <w:t>We have committed to several remedial actions. We will pay more attention to gender balance and diversity when recruiting part-time and lower-paid positions, encouraging more men to take up flexible working arrangements. In management recruiting, we will set up an emerging leaders’ program with inclusive leadership modules to encourage women’s participation in management. And we will keep our eye out for any unconscious biases that may creep into our processes.</w:t>
      </w:r>
    </w:p>
    <w:p w14:paraId="79B6F4AB" w14:textId="132E0C89" w:rsidR="00390160" w:rsidRDefault="00390160" w:rsidP="00390160">
      <w:pPr>
        <w:pStyle w:val="BodyText"/>
      </w:pPr>
      <w:r>
        <w:t xml:space="preserve">Eliminating the gender pay gap is not a journey with a destination, where, once you arrive, you can relax. Rather, it is a balancing act, where regular monitoring is followed by adjusting your stance. The only constant for NDS in this ever-shifting environment is our desire to create a diverse, </w:t>
      </w:r>
      <w:proofErr w:type="gramStart"/>
      <w:r>
        <w:t>inclusive</w:t>
      </w:r>
      <w:proofErr w:type="gramEnd"/>
      <w:r>
        <w:t xml:space="preserve"> and fair workplace.</w:t>
      </w:r>
    </w:p>
    <w:p w14:paraId="7AD5314A" w14:textId="77777777" w:rsidR="00390160" w:rsidRDefault="00390160" w:rsidP="00390160">
      <w:pPr>
        <w:pStyle w:val="BodyText"/>
      </w:pPr>
      <w:r>
        <w:t>Laurie Leigh</w:t>
      </w:r>
    </w:p>
    <w:p w14:paraId="5FD0D6BF" w14:textId="77777777" w:rsidR="00390160" w:rsidRDefault="00390160" w:rsidP="00390160">
      <w:pPr>
        <w:pStyle w:val="BodyText"/>
      </w:pPr>
      <w:r>
        <w:t>CEO</w:t>
      </w:r>
    </w:p>
    <w:p w14:paraId="2D377824" w14:textId="7A21FB7A" w:rsidR="00390160" w:rsidRDefault="00390160" w:rsidP="00390160">
      <w:pPr>
        <w:pStyle w:val="BodyText"/>
      </w:pPr>
      <w:r>
        <w:t>National Disability Services</w:t>
      </w:r>
    </w:p>
    <w:p w14:paraId="4408BDEB" w14:textId="77777777" w:rsidR="00390160" w:rsidRDefault="00390160" w:rsidP="00390160">
      <w:pPr>
        <w:pStyle w:val="Heading1"/>
        <w:keepNext/>
        <w:spacing w:before="240"/>
        <w:ind w:left="720" w:hanging="720"/>
      </w:pPr>
      <w:bookmarkStart w:id="1" w:name="_Toc160626410"/>
      <w:r>
        <w:lastRenderedPageBreak/>
        <w:t>What is the gender pay gap?</w:t>
      </w:r>
      <w:bookmarkEnd w:id="1"/>
    </w:p>
    <w:p w14:paraId="1E6AC633" w14:textId="77777777" w:rsidR="00390160" w:rsidRDefault="00390160" w:rsidP="00390160">
      <w:pPr>
        <w:pStyle w:val="BodyText"/>
      </w:pPr>
      <w:r>
        <w:t>The Workplace Gender Equality Amendment (Closing the Gender Pay Gap) Act 2023 requires the Workplace Gender Equality Agency (WGEA) to publish employer gender pay gaps from 2024. International experience has shown that increasing the visibility of employer gender pay gaps prompts change on workplace gender equality.</w:t>
      </w:r>
    </w:p>
    <w:p w14:paraId="0142669A" w14:textId="77777777" w:rsidR="00390160" w:rsidRDefault="00390160" w:rsidP="00390160">
      <w:pPr>
        <w:pStyle w:val="BodyText"/>
      </w:pPr>
      <w:r>
        <w:t>The gender pay gap is the difference in average earnings between women and men in the workforce. It is not to be confused with women and men being paid the same for the same or comparable job. As an employer, failing to provide equal pay to employees is unlawful,</w:t>
      </w:r>
    </w:p>
    <w:p w14:paraId="6B66CDC7" w14:textId="77777777" w:rsidR="00390160" w:rsidRDefault="00390160" w:rsidP="00390160">
      <w:pPr>
        <w:pStyle w:val="BodyText"/>
      </w:pPr>
      <w:r>
        <w:t>while having a gender pay gap is not. NDS is an equal pay employer. We do not engage in any practices that breach equal pay legislation.</w:t>
      </w:r>
    </w:p>
    <w:p w14:paraId="61F12F19" w14:textId="77777777" w:rsidR="00390160" w:rsidRDefault="00390160" w:rsidP="00390160">
      <w:pPr>
        <w:pStyle w:val="BodyText"/>
      </w:pPr>
      <w:r>
        <w:t xml:space="preserve">The gap between women and men’s average earnings is the result of social, </w:t>
      </w:r>
      <w:proofErr w:type="spellStart"/>
      <w:proofErr w:type="gramStart"/>
      <w:r>
        <w:t>organisational</w:t>
      </w:r>
      <w:proofErr w:type="spellEnd"/>
      <w:proofErr w:type="gramEnd"/>
      <w:r>
        <w:t xml:space="preserve"> and economic factors that combine to reduce women’s earning capacity over their lifetime.</w:t>
      </w:r>
    </w:p>
    <w:p w14:paraId="7CA8B55C" w14:textId="77777777" w:rsidR="00390160" w:rsidRDefault="00390160" w:rsidP="00390160">
      <w:pPr>
        <w:pStyle w:val="BodyText"/>
      </w:pPr>
      <w:r>
        <w:t xml:space="preserve">In 2024, the median gender pay gap has been published. This covers 1 April 2022 to 31 March 2023. The median is the middle point of a population. In a ranking of employees by FTE annual salary, the median pay gap is the percentage difference between middle woman and the </w:t>
      </w:r>
      <w:proofErr w:type="gramStart"/>
      <w:r>
        <w:t>middle man</w:t>
      </w:r>
      <w:proofErr w:type="gramEnd"/>
      <w:r>
        <w:t xml:space="preserve">. This differs from the mean pay gap, which compares the average FTE salary of women in the </w:t>
      </w:r>
      <w:proofErr w:type="spellStart"/>
      <w:r>
        <w:t>organisation</w:t>
      </w:r>
      <w:proofErr w:type="spellEnd"/>
      <w:r>
        <w:t xml:space="preserve"> to that of men.</w:t>
      </w:r>
    </w:p>
    <w:p w14:paraId="0F30B396" w14:textId="7E2A1211" w:rsidR="005A5B2B" w:rsidRDefault="00390160" w:rsidP="00390160">
      <w:pPr>
        <w:pStyle w:val="BodyText"/>
      </w:pPr>
      <w:r>
        <w:t>The industry used for benchmarking by WGEA is the Business and Professional Association Services.</w:t>
      </w:r>
    </w:p>
    <w:p w14:paraId="7AC7C6BD" w14:textId="0A97EAB4" w:rsidR="00390160" w:rsidRDefault="00390160" w:rsidP="00C817D3">
      <w:pPr>
        <w:pStyle w:val="Heading1"/>
        <w:keepNext/>
        <w:spacing w:before="240"/>
      </w:pPr>
      <w:bookmarkStart w:id="2" w:name="_Toc160626411"/>
      <w:r>
        <w:t>NDS Gender Pay Gap</w:t>
      </w:r>
      <w:bookmarkEnd w:id="2"/>
    </w:p>
    <w:p w14:paraId="11C9E17E" w14:textId="152683D9" w:rsidR="5391B914" w:rsidRDefault="5391B914" w:rsidP="79A126A2">
      <w:pPr>
        <w:pStyle w:val="BodyText"/>
        <w:rPr>
          <w:b/>
          <w:bCs/>
        </w:rPr>
      </w:pPr>
      <w:r w:rsidRPr="79A126A2">
        <w:rPr>
          <w:b/>
          <w:bCs/>
        </w:rPr>
        <w:t xml:space="preserve">Graph One: NDS verses national and industry gender pay </w:t>
      </w:r>
      <w:proofErr w:type="gramStart"/>
      <w:r w:rsidRPr="79A126A2">
        <w:rPr>
          <w:b/>
          <w:bCs/>
        </w:rPr>
        <w:t>gaps</w:t>
      </w:r>
      <w:proofErr w:type="gramEnd"/>
    </w:p>
    <w:p w14:paraId="56AA64F5" w14:textId="5BD5182F" w:rsidR="05408B7E" w:rsidRDefault="05408B7E" w:rsidP="79A126A2">
      <w:pPr>
        <w:pStyle w:val="BodyText"/>
      </w:pPr>
      <w:r>
        <w:t>NDS 2021-2022</w:t>
      </w:r>
    </w:p>
    <w:p w14:paraId="352B1052" w14:textId="4328D642" w:rsidR="05408B7E" w:rsidRDefault="05408B7E" w:rsidP="79A126A2">
      <w:pPr>
        <w:pStyle w:val="BodyText"/>
      </w:pPr>
      <w:r>
        <w:t>Median total remuneration 4.4 per cent</w:t>
      </w:r>
    </w:p>
    <w:p w14:paraId="671E8617" w14:textId="417B1008" w:rsidR="05408B7E" w:rsidRDefault="05408B7E" w:rsidP="79A126A2">
      <w:pPr>
        <w:pStyle w:val="BodyText"/>
      </w:pPr>
      <w:r>
        <w:t>Median base salary 5 per cent</w:t>
      </w:r>
    </w:p>
    <w:p w14:paraId="445A46CA" w14:textId="71983C7C" w:rsidR="05408B7E" w:rsidRDefault="05408B7E" w:rsidP="79A126A2">
      <w:pPr>
        <w:pStyle w:val="BodyText"/>
      </w:pPr>
      <w:r>
        <w:lastRenderedPageBreak/>
        <w:t>NDS 2022-2023</w:t>
      </w:r>
    </w:p>
    <w:p w14:paraId="0C41376C" w14:textId="64D67ACF" w:rsidR="05408B7E" w:rsidRDefault="05408B7E" w:rsidP="79A126A2">
      <w:pPr>
        <w:pStyle w:val="BodyText"/>
      </w:pPr>
      <w:r>
        <w:t>Median total remuneration 0 per cent</w:t>
      </w:r>
    </w:p>
    <w:p w14:paraId="35AC1509" w14:textId="3D085DC4" w:rsidR="05408B7E" w:rsidRDefault="05408B7E" w:rsidP="79A126A2">
      <w:pPr>
        <w:pStyle w:val="BodyText"/>
      </w:pPr>
      <w:r>
        <w:t>Median base salary 0.3 per cent</w:t>
      </w:r>
    </w:p>
    <w:p w14:paraId="45CECC8C" w14:textId="3A3AE898" w:rsidR="05408B7E" w:rsidRDefault="05408B7E" w:rsidP="79A126A2">
      <w:pPr>
        <w:pStyle w:val="BodyText"/>
      </w:pPr>
      <w:r>
        <w:t>National 2022 2023</w:t>
      </w:r>
    </w:p>
    <w:p w14:paraId="74772409" w14:textId="15EDCE04" w:rsidR="05408B7E" w:rsidRDefault="05408B7E" w:rsidP="79A126A2">
      <w:pPr>
        <w:pStyle w:val="BodyText"/>
      </w:pPr>
      <w:r>
        <w:t>Median total remuneration 19 per cent</w:t>
      </w:r>
    </w:p>
    <w:p w14:paraId="3CCA255B" w14:textId="5A16506D" w:rsidR="05408B7E" w:rsidRDefault="05408B7E" w:rsidP="79A126A2">
      <w:pPr>
        <w:pStyle w:val="BodyText"/>
      </w:pPr>
      <w:r>
        <w:t>Median base salary 14.5 per cent</w:t>
      </w:r>
    </w:p>
    <w:p w14:paraId="067F0168" w14:textId="2BD3C00E" w:rsidR="05408B7E" w:rsidRDefault="05408B7E" w:rsidP="79A126A2">
      <w:pPr>
        <w:pStyle w:val="BodyText"/>
      </w:pPr>
      <w:r>
        <w:t>Industry</w:t>
      </w:r>
    </w:p>
    <w:p w14:paraId="508C38FC" w14:textId="5D394927" w:rsidR="05408B7E" w:rsidRDefault="05408B7E" w:rsidP="79A126A2">
      <w:pPr>
        <w:pStyle w:val="BodyText"/>
      </w:pPr>
      <w:r>
        <w:t>Median total remuneration 6 per cent</w:t>
      </w:r>
    </w:p>
    <w:p w14:paraId="4B96264C" w14:textId="0FB449F6" w:rsidR="79A126A2" w:rsidRDefault="05408B7E" w:rsidP="79A126A2">
      <w:pPr>
        <w:pStyle w:val="BodyText"/>
      </w:pPr>
      <w:r>
        <w:t>Median base salary 5 per cent</w:t>
      </w:r>
    </w:p>
    <w:p w14:paraId="2CDD4B86" w14:textId="36A94DE1" w:rsidR="00390160" w:rsidRDefault="00390160" w:rsidP="00390160">
      <w:pPr>
        <w:pStyle w:val="BodyText"/>
      </w:pPr>
      <w:r>
        <w:t>A positive percentage indicates that median pay for men is higher than the median pay for</w:t>
      </w:r>
      <w:r w:rsidR="005A5B2B">
        <w:t xml:space="preserve"> </w:t>
      </w:r>
      <w:r>
        <w:t>women.</w:t>
      </w:r>
    </w:p>
    <w:p w14:paraId="40A731A4" w14:textId="77777777" w:rsidR="00390160" w:rsidRDefault="00390160" w:rsidP="00390160">
      <w:pPr>
        <w:pStyle w:val="BodyText"/>
      </w:pPr>
      <w:proofErr w:type="gramStart"/>
      <w:r>
        <w:t>At</w:t>
      </w:r>
      <w:proofErr w:type="gramEnd"/>
      <w:r>
        <w:t xml:space="preserve"> April 2023, NDS’s median total remuneration pay gap was 0 per cent.</w:t>
      </w:r>
    </w:p>
    <w:p w14:paraId="2B05425A" w14:textId="40935523" w:rsidR="00390160" w:rsidRDefault="00390160" w:rsidP="00390160">
      <w:pPr>
        <w:pStyle w:val="BodyText"/>
      </w:pPr>
      <w:r>
        <w:t>NDS has a zero or negligible gender pay gap, which is significantly better than the industry and</w:t>
      </w:r>
      <w:r w:rsidR="005A5B2B">
        <w:t xml:space="preserve"> </w:t>
      </w:r>
      <w:r>
        <w:t xml:space="preserve">national pay gaps and an improvement from 2021–22. </w:t>
      </w:r>
    </w:p>
    <w:p w14:paraId="64B0D2BA" w14:textId="77777777" w:rsidR="00390160" w:rsidRDefault="00390160" w:rsidP="005A5B2B">
      <w:pPr>
        <w:pStyle w:val="Heading1"/>
        <w:keepNext/>
        <w:spacing w:before="240"/>
        <w:ind w:left="720" w:hanging="720"/>
      </w:pPr>
      <w:bookmarkStart w:id="3" w:name="_Toc160626412"/>
      <w:r>
        <w:t xml:space="preserve">Gender composition by pay </w:t>
      </w:r>
      <w:proofErr w:type="gramStart"/>
      <w:r>
        <w:t>quartile</w:t>
      </w:r>
      <w:bookmarkEnd w:id="3"/>
      <w:proofErr w:type="gramEnd"/>
    </w:p>
    <w:p w14:paraId="515D51E2" w14:textId="40801D7D" w:rsidR="22DE8EA0" w:rsidRDefault="22DE8EA0" w:rsidP="79A126A2">
      <w:pPr>
        <w:pStyle w:val="BodyText"/>
        <w:rPr>
          <w:b/>
          <w:bCs/>
        </w:rPr>
      </w:pPr>
      <w:r w:rsidRPr="79A126A2">
        <w:rPr>
          <w:b/>
          <w:bCs/>
        </w:rPr>
        <w:t xml:space="preserve">Graph Two: </w:t>
      </w:r>
    </w:p>
    <w:p w14:paraId="02727080" w14:textId="0113458C" w:rsidR="22DE8EA0" w:rsidRDefault="22DE8EA0" w:rsidP="79A126A2">
      <w:pPr>
        <w:pStyle w:val="BodyText"/>
      </w:pPr>
      <w:r>
        <w:t>NDS total workforce 81 per cent women and 19 per cent men</w:t>
      </w:r>
    </w:p>
    <w:p w14:paraId="123C7E7B" w14:textId="771D79BE" w:rsidR="22DE8EA0" w:rsidRDefault="22DE8EA0" w:rsidP="79A126A2">
      <w:pPr>
        <w:pStyle w:val="BodyText"/>
      </w:pPr>
      <w:r>
        <w:t>Industry total workforce 6</w:t>
      </w:r>
      <w:r w:rsidR="7E0FD947">
        <w:t>1</w:t>
      </w:r>
      <w:r>
        <w:t xml:space="preserve"> per cent women and 39 per cent men</w:t>
      </w:r>
    </w:p>
    <w:p w14:paraId="72BAA70E" w14:textId="4EC486BC" w:rsidR="769751BD" w:rsidRDefault="769751BD" w:rsidP="79A126A2">
      <w:pPr>
        <w:pStyle w:val="BodyText"/>
      </w:pPr>
      <w:r>
        <w:t>NDS upper pay quartile 69 per cent women and 31 per cent men</w:t>
      </w:r>
    </w:p>
    <w:p w14:paraId="776808BE" w14:textId="17C822CE" w:rsidR="769751BD" w:rsidRDefault="769751BD" w:rsidP="79A126A2">
      <w:pPr>
        <w:pStyle w:val="BodyText"/>
      </w:pPr>
      <w:r>
        <w:t>Industry upper pay quartile 52 per cent women and 48 per cent men</w:t>
      </w:r>
    </w:p>
    <w:p w14:paraId="6B11A409" w14:textId="4CFAC160" w:rsidR="769751BD" w:rsidRDefault="769751BD" w:rsidP="79A126A2">
      <w:pPr>
        <w:pStyle w:val="BodyText"/>
      </w:pPr>
      <w:r>
        <w:t>NDS upper middle pay quartile 94 per cent women and 6 per cent men</w:t>
      </w:r>
    </w:p>
    <w:p w14:paraId="534101B5" w14:textId="19734ACF" w:rsidR="769751BD" w:rsidRDefault="769751BD" w:rsidP="79A126A2">
      <w:pPr>
        <w:pStyle w:val="BodyText"/>
      </w:pPr>
      <w:r>
        <w:t>Industry upper middle pay quartile 64 per cent women and 36 per cent men</w:t>
      </w:r>
    </w:p>
    <w:p w14:paraId="57AF779A" w14:textId="7A945A1C" w:rsidR="769751BD" w:rsidRDefault="769751BD" w:rsidP="79A126A2">
      <w:pPr>
        <w:pStyle w:val="BodyText"/>
      </w:pPr>
      <w:r>
        <w:t>NDS lower middle pay quartile 75 per cent women and 25 per cent men</w:t>
      </w:r>
    </w:p>
    <w:p w14:paraId="6C478A9B" w14:textId="23C33445" w:rsidR="769751BD" w:rsidRDefault="769751BD" w:rsidP="79A126A2">
      <w:pPr>
        <w:pStyle w:val="BodyText"/>
      </w:pPr>
      <w:r>
        <w:t>Industry lower middle pay quartile 75 per cent women and 25 per cent men</w:t>
      </w:r>
    </w:p>
    <w:p w14:paraId="1B2F3349" w14:textId="09765713" w:rsidR="769751BD" w:rsidRDefault="769751BD" w:rsidP="79A126A2">
      <w:pPr>
        <w:pStyle w:val="BodyText"/>
      </w:pPr>
      <w:r>
        <w:t>NDS lower pay quartile 88 per cent women and 13 per cent men</w:t>
      </w:r>
    </w:p>
    <w:p w14:paraId="37C919C3" w14:textId="78AACF58" w:rsidR="769751BD" w:rsidRDefault="769751BD" w:rsidP="79A126A2">
      <w:pPr>
        <w:pStyle w:val="BodyText"/>
      </w:pPr>
      <w:r>
        <w:t>Industry lower pay quartile 53 per cent women and 47 per cent men</w:t>
      </w:r>
    </w:p>
    <w:p w14:paraId="5F0676E2" w14:textId="67167995" w:rsidR="79A126A2" w:rsidRDefault="79A126A2" w:rsidP="79A126A2">
      <w:pPr>
        <w:pStyle w:val="BodyText"/>
      </w:pPr>
    </w:p>
    <w:p w14:paraId="17701478" w14:textId="77777777" w:rsidR="00390160" w:rsidRDefault="00390160" w:rsidP="00390160">
      <w:pPr>
        <w:pStyle w:val="BodyText"/>
      </w:pPr>
      <w:r>
        <w:t>NDS has a lower proportion of men employed overall than the industry benchmark.</w:t>
      </w:r>
    </w:p>
    <w:p w14:paraId="17542FCC" w14:textId="3BE51DA0" w:rsidR="00390160" w:rsidRDefault="00390160" w:rsidP="00390160">
      <w:pPr>
        <w:pStyle w:val="BodyText"/>
      </w:pPr>
      <w:r>
        <w:t>The Aon Community, Advocacy and Social Services 2023 survey gender composition is also</w:t>
      </w:r>
      <w:r w:rsidR="005A5B2B">
        <w:t xml:space="preserve"> </w:t>
      </w:r>
      <w:r>
        <w:t>higher, with on average 74 per cent women, 21 per cent men and 5 per cent are non-binary. NDS has particularly low proportions of men in the upper middle and lower quartiles.</w:t>
      </w:r>
    </w:p>
    <w:p w14:paraId="594F4871" w14:textId="5DC301E4" w:rsidR="0002130A" w:rsidRDefault="00390160" w:rsidP="0002130A">
      <w:pPr>
        <w:pStyle w:val="BodyText"/>
      </w:pPr>
      <w:r>
        <w:t>This unequal distribution of male employees across the pay quartiles is a concern and will drive</w:t>
      </w:r>
      <w:r w:rsidR="005A5B2B">
        <w:t xml:space="preserve"> </w:t>
      </w:r>
      <w:r>
        <w:t>a gender pay gap.</w:t>
      </w:r>
    </w:p>
    <w:p w14:paraId="1D2C78BF" w14:textId="77777777" w:rsidR="0002130A" w:rsidRDefault="0002130A">
      <w:pPr>
        <w:spacing w:before="0" w:after="160" w:line="259" w:lineRule="auto"/>
        <w:rPr>
          <w:rFonts w:eastAsia="Calibri" w:cs="Calibri"/>
          <w:lang w:val="en-US"/>
        </w:rPr>
      </w:pPr>
      <w:r>
        <w:br w:type="page"/>
      </w:r>
    </w:p>
    <w:p w14:paraId="50194978" w14:textId="3EBAFEA8" w:rsidR="00390160" w:rsidRDefault="00390160" w:rsidP="00825878">
      <w:pPr>
        <w:pStyle w:val="Heading1"/>
        <w:keepNext/>
        <w:spacing w:before="240"/>
      </w:pPr>
      <w:bookmarkStart w:id="4" w:name="_Toc160626413"/>
      <w:r>
        <w:lastRenderedPageBreak/>
        <w:t>Further data for analysis</w:t>
      </w:r>
      <w:bookmarkEnd w:id="4"/>
    </w:p>
    <w:tbl>
      <w:tblPr>
        <w:tblStyle w:val="TableGrid"/>
        <w:tblW w:w="8926" w:type="dxa"/>
        <w:tblLayout w:type="fixed"/>
        <w:tblLook w:val="00A0" w:firstRow="1" w:lastRow="0" w:firstColumn="1" w:lastColumn="0" w:noHBand="0" w:noVBand="0"/>
        <w:tblCaption w:val="Table 1"/>
        <w:tblDescription w:val="This table shows over the last three years, there has been an increase in the proportion of men in more senior roles and reduction of men in non-management roles"/>
      </w:tblPr>
      <w:tblGrid>
        <w:gridCol w:w="1271"/>
        <w:gridCol w:w="1418"/>
        <w:gridCol w:w="1275"/>
        <w:gridCol w:w="1134"/>
        <w:gridCol w:w="1276"/>
        <w:gridCol w:w="1276"/>
        <w:gridCol w:w="1276"/>
      </w:tblGrid>
      <w:tr w:rsidR="005A5B2B" w:rsidRPr="005E52D7" w14:paraId="64DE5DE5" w14:textId="77777777" w:rsidTr="005F357B">
        <w:trPr>
          <w:trHeight w:val="839"/>
        </w:trPr>
        <w:tc>
          <w:tcPr>
            <w:tcW w:w="1271" w:type="dxa"/>
            <w:vAlign w:val="center"/>
          </w:tcPr>
          <w:p w14:paraId="2D600E6A" w14:textId="21254BC3" w:rsidR="005A5B2B" w:rsidRPr="005E52D7" w:rsidRDefault="005E52D7" w:rsidP="005E52D7">
            <w:pPr>
              <w:rPr>
                <w:sz w:val="20"/>
                <w:szCs w:val="20"/>
              </w:rPr>
            </w:pPr>
            <w:r>
              <w:rPr>
                <w:sz w:val="20"/>
                <w:szCs w:val="20"/>
              </w:rPr>
              <w:t>Ye</w:t>
            </w:r>
            <w:bookmarkStart w:id="5" w:name="Table_1"/>
            <w:bookmarkEnd w:id="5"/>
            <w:r>
              <w:rPr>
                <w:sz w:val="20"/>
                <w:szCs w:val="20"/>
              </w:rPr>
              <w:t>ar</w:t>
            </w:r>
          </w:p>
        </w:tc>
        <w:tc>
          <w:tcPr>
            <w:tcW w:w="1418" w:type="dxa"/>
            <w:vAlign w:val="bottom"/>
          </w:tcPr>
          <w:p w14:paraId="5915B0DA" w14:textId="0EE44DD4" w:rsidR="005A5B2B" w:rsidRPr="005E52D7" w:rsidRDefault="00DF674B" w:rsidP="005E52D7">
            <w:pPr>
              <w:pStyle w:val="TableParagraph"/>
              <w:ind w:left="1"/>
              <w:jc w:val="left"/>
              <w:rPr>
                <w:b/>
                <w:bCs/>
                <w:sz w:val="20"/>
                <w:szCs w:val="20"/>
              </w:rPr>
            </w:pPr>
            <w:r w:rsidRPr="005E52D7">
              <w:rPr>
                <w:sz w:val="20"/>
                <w:szCs w:val="20"/>
              </w:rPr>
              <w:t>Percentage of k</w:t>
            </w:r>
            <w:r w:rsidR="00C62305" w:rsidRPr="005E52D7">
              <w:rPr>
                <w:sz w:val="20"/>
                <w:szCs w:val="20"/>
              </w:rPr>
              <w:t>ey</w:t>
            </w:r>
            <w:r w:rsidR="00C62305" w:rsidRPr="005E52D7">
              <w:rPr>
                <w:spacing w:val="-17"/>
                <w:sz w:val="20"/>
                <w:szCs w:val="20"/>
              </w:rPr>
              <w:t xml:space="preserve"> </w:t>
            </w:r>
            <w:r w:rsidR="00C62305" w:rsidRPr="005E52D7">
              <w:rPr>
                <w:sz w:val="20"/>
                <w:szCs w:val="20"/>
              </w:rPr>
              <w:t>Management Personnel</w:t>
            </w:r>
            <w:r w:rsidR="00C62305" w:rsidRPr="005E52D7">
              <w:rPr>
                <w:spacing w:val="-11"/>
                <w:sz w:val="20"/>
                <w:szCs w:val="20"/>
              </w:rPr>
              <w:t xml:space="preserve"> </w:t>
            </w:r>
            <w:r w:rsidR="00C62305" w:rsidRPr="005E52D7">
              <w:rPr>
                <w:spacing w:val="-8"/>
                <w:sz w:val="20"/>
                <w:szCs w:val="20"/>
              </w:rPr>
              <w:t xml:space="preserve">(KMPs): </w:t>
            </w:r>
            <w:r w:rsidR="005A5B2B" w:rsidRPr="005E52D7">
              <w:rPr>
                <w:b/>
                <w:bCs/>
                <w:spacing w:val="-2"/>
                <w:sz w:val="20"/>
                <w:szCs w:val="20"/>
              </w:rPr>
              <w:t>Women</w:t>
            </w:r>
          </w:p>
        </w:tc>
        <w:tc>
          <w:tcPr>
            <w:tcW w:w="1275" w:type="dxa"/>
            <w:vAlign w:val="bottom"/>
          </w:tcPr>
          <w:p w14:paraId="302E8BD0" w14:textId="0801F07A" w:rsidR="005A5B2B" w:rsidRPr="005E52D7" w:rsidRDefault="00DF674B" w:rsidP="005E52D7">
            <w:pPr>
              <w:pStyle w:val="TableParagraph"/>
              <w:jc w:val="left"/>
              <w:rPr>
                <w:b/>
                <w:bCs/>
                <w:sz w:val="20"/>
                <w:szCs w:val="20"/>
              </w:rPr>
            </w:pPr>
            <w:r w:rsidRPr="005E52D7">
              <w:rPr>
                <w:sz w:val="20"/>
                <w:szCs w:val="20"/>
              </w:rPr>
              <w:t>Percentage of k</w:t>
            </w:r>
            <w:r w:rsidR="00C62305" w:rsidRPr="005E52D7">
              <w:rPr>
                <w:sz w:val="20"/>
                <w:szCs w:val="20"/>
              </w:rPr>
              <w:t>ey</w:t>
            </w:r>
            <w:r w:rsidR="00C62305" w:rsidRPr="005E52D7">
              <w:rPr>
                <w:spacing w:val="-17"/>
                <w:sz w:val="20"/>
                <w:szCs w:val="20"/>
              </w:rPr>
              <w:t xml:space="preserve"> </w:t>
            </w:r>
            <w:r w:rsidR="00C62305" w:rsidRPr="005E52D7">
              <w:rPr>
                <w:sz w:val="20"/>
                <w:szCs w:val="20"/>
              </w:rPr>
              <w:t>Management Personnel</w:t>
            </w:r>
            <w:r w:rsidR="00C62305" w:rsidRPr="005E52D7">
              <w:rPr>
                <w:spacing w:val="-11"/>
                <w:sz w:val="20"/>
                <w:szCs w:val="20"/>
              </w:rPr>
              <w:t xml:space="preserve"> </w:t>
            </w:r>
            <w:r w:rsidR="00C62305" w:rsidRPr="005E52D7">
              <w:rPr>
                <w:spacing w:val="-8"/>
                <w:sz w:val="20"/>
                <w:szCs w:val="20"/>
              </w:rPr>
              <w:t xml:space="preserve">(KMPs): </w:t>
            </w:r>
            <w:r w:rsidR="005A5B2B" w:rsidRPr="005E52D7">
              <w:rPr>
                <w:b/>
                <w:bCs/>
                <w:spacing w:val="-5"/>
                <w:w w:val="105"/>
                <w:sz w:val="20"/>
                <w:szCs w:val="20"/>
              </w:rPr>
              <w:t>Men</w:t>
            </w:r>
          </w:p>
        </w:tc>
        <w:tc>
          <w:tcPr>
            <w:tcW w:w="1134" w:type="dxa"/>
            <w:vAlign w:val="bottom"/>
          </w:tcPr>
          <w:p w14:paraId="04B684A1" w14:textId="122EF679" w:rsidR="005A5B2B" w:rsidRPr="005E52D7" w:rsidRDefault="00DF674B" w:rsidP="005E52D7">
            <w:pPr>
              <w:pStyle w:val="TableParagraph"/>
              <w:jc w:val="left"/>
              <w:rPr>
                <w:b/>
                <w:bCs/>
                <w:sz w:val="20"/>
                <w:szCs w:val="20"/>
              </w:rPr>
            </w:pPr>
            <w:r w:rsidRPr="005E52D7">
              <w:rPr>
                <w:spacing w:val="-2"/>
                <w:sz w:val="20"/>
                <w:szCs w:val="20"/>
              </w:rPr>
              <w:t>Percentage of M</w:t>
            </w:r>
            <w:r w:rsidR="00C62305" w:rsidRPr="005E52D7">
              <w:rPr>
                <w:spacing w:val="-2"/>
                <w:sz w:val="20"/>
                <w:szCs w:val="20"/>
              </w:rPr>
              <w:t>anagers</w:t>
            </w:r>
            <w:r w:rsidR="00C62305" w:rsidRPr="005E52D7">
              <w:rPr>
                <w:b/>
                <w:bCs/>
                <w:spacing w:val="-2"/>
                <w:sz w:val="20"/>
                <w:szCs w:val="20"/>
              </w:rPr>
              <w:t xml:space="preserve">: </w:t>
            </w:r>
            <w:r w:rsidR="005A5B2B" w:rsidRPr="005E52D7">
              <w:rPr>
                <w:b/>
                <w:bCs/>
                <w:spacing w:val="-2"/>
                <w:sz w:val="20"/>
                <w:szCs w:val="20"/>
              </w:rPr>
              <w:t>Women</w:t>
            </w:r>
          </w:p>
        </w:tc>
        <w:tc>
          <w:tcPr>
            <w:tcW w:w="1276" w:type="dxa"/>
            <w:vAlign w:val="bottom"/>
          </w:tcPr>
          <w:p w14:paraId="690AD4B3" w14:textId="13E66934" w:rsidR="005A5B2B" w:rsidRPr="005E52D7" w:rsidRDefault="00DF674B" w:rsidP="005E52D7">
            <w:pPr>
              <w:pStyle w:val="TableParagraph"/>
              <w:jc w:val="left"/>
              <w:rPr>
                <w:b/>
                <w:bCs/>
                <w:sz w:val="20"/>
                <w:szCs w:val="20"/>
              </w:rPr>
            </w:pPr>
            <w:r w:rsidRPr="005E52D7">
              <w:rPr>
                <w:spacing w:val="-2"/>
                <w:sz w:val="20"/>
                <w:szCs w:val="20"/>
              </w:rPr>
              <w:t>Percentage of M</w:t>
            </w:r>
            <w:r w:rsidR="00C62305" w:rsidRPr="005E52D7">
              <w:rPr>
                <w:spacing w:val="-2"/>
                <w:sz w:val="20"/>
                <w:szCs w:val="20"/>
              </w:rPr>
              <w:t>anagers</w:t>
            </w:r>
            <w:r w:rsidR="00C62305" w:rsidRPr="005E52D7">
              <w:rPr>
                <w:b/>
                <w:bCs/>
                <w:spacing w:val="-5"/>
                <w:w w:val="105"/>
                <w:sz w:val="20"/>
                <w:szCs w:val="20"/>
              </w:rPr>
              <w:t xml:space="preserve">: </w:t>
            </w:r>
            <w:r w:rsidR="005A5B2B" w:rsidRPr="005E52D7">
              <w:rPr>
                <w:b/>
                <w:bCs/>
                <w:spacing w:val="-5"/>
                <w:w w:val="105"/>
                <w:sz w:val="20"/>
                <w:szCs w:val="20"/>
              </w:rPr>
              <w:t>Men</w:t>
            </w:r>
          </w:p>
        </w:tc>
        <w:tc>
          <w:tcPr>
            <w:tcW w:w="1276" w:type="dxa"/>
            <w:vAlign w:val="bottom"/>
          </w:tcPr>
          <w:p w14:paraId="5F8ECA6A" w14:textId="2AF75411" w:rsidR="005A5B2B" w:rsidRPr="005E52D7" w:rsidRDefault="00DF674B" w:rsidP="005E52D7">
            <w:pPr>
              <w:pStyle w:val="TableParagraph"/>
              <w:jc w:val="left"/>
              <w:rPr>
                <w:b/>
                <w:bCs/>
                <w:sz w:val="20"/>
                <w:szCs w:val="20"/>
              </w:rPr>
            </w:pPr>
            <w:r w:rsidRPr="005E52D7">
              <w:rPr>
                <w:sz w:val="20"/>
                <w:szCs w:val="20"/>
              </w:rPr>
              <w:t>Percentage of N</w:t>
            </w:r>
            <w:r w:rsidR="00C62305" w:rsidRPr="005E52D7">
              <w:rPr>
                <w:sz w:val="20"/>
                <w:szCs w:val="20"/>
              </w:rPr>
              <w:t>on-</w:t>
            </w:r>
            <w:proofErr w:type="gramStart"/>
            <w:r w:rsidR="00C62305" w:rsidRPr="005E52D7">
              <w:rPr>
                <w:spacing w:val="-2"/>
                <w:sz w:val="20"/>
                <w:szCs w:val="20"/>
              </w:rPr>
              <w:t>Management</w:t>
            </w:r>
            <w:r w:rsidR="00C62305" w:rsidRPr="005E52D7">
              <w:rPr>
                <w:b/>
                <w:bCs/>
                <w:spacing w:val="-2"/>
                <w:sz w:val="20"/>
                <w:szCs w:val="20"/>
              </w:rPr>
              <w:t xml:space="preserve"> :</w:t>
            </w:r>
            <w:proofErr w:type="gramEnd"/>
            <w:r w:rsidR="00C62305" w:rsidRPr="005E52D7">
              <w:rPr>
                <w:b/>
                <w:bCs/>
                <w:spacing w:val="-2"/>
                <w:sz w:val="20"/>
                <w:szCs w:val="20"/>
              </w:rPr>
              <w:t xml:space="preserve"> </w:t>
            </w:r>
            <w:r w:rsidR="005A5B2B" w:rsidRPr="005E52D7">
              <w:rPr>
                <w:b/>
                <w:bCs/>
                <w:spacing w:val="-2"/>
                <w:sz w:val="20"/>
                <w:szCs w:val="20"/>
              </w:rPr>
              <w:t>Women</w:t>
            </w:r>
          </w:p>
        </w:tc>
        <w:tc>
          <w:tcPr>
            <w:tcW w:w="1276" w:type="dxa"/>
            <w:vAlign w:val="bottom"/>
          </w:tcPr>
          <w:p w14:paraId="03F83A39" w14:textId="0A618B9B" w:rsidR="005A5B2B" w:rsidRPr="005E52D7" w:rsidRDefault="00DF674B" w:rsidP="005E52D7">
            <w:pPr>
              <w:pStyle w:val="TableParagraph"/>
              <w:ind w:left="1"/>
              <w:jc w:val="left"/>
              <w:rPr>
                <w:b/>
                <w:bCs/>
                <w:sz w:val="20"/>
                <w:szCs w:val="20"/>
              </w:rPr>
            </w:pPr>
            <w:r w:rsidRPr="005E52D7">
              <w:rPr>
                <w:sz w:val="20"/>
                <w:szCs w:val="20"/>
              </w:rPr>
              <w:t xml:space="preserve">Percentage of </w:t>
            </w:r>
            <w:r w:rsidR="00C62305" w:rsidRPr="005E52D7">
              <w:rPr>
                <w:sz w:val="20"/>
                <w:szCs w:val="20"/>
              </w:rPr>
              <w:t>Non-</w:t>
            </w:r>
            <w:proofErr w:type="gramStart"/>
            <w:r w:rsidR="00C62305" w:rsidRPr="005E52D7">
              <w:rPr>
                <w:spacing w:val="-2"/>
                <w:sz w:val="20"/>
                <w:szCs w:val="20"/>
              </w:rPr>
              <w:t>Management</w:t>
            </w:r>
            <w:r w:rsidR="00C62305" w:rsidRPr="005E52D7">
              <w:rPr>
                <w:b/>
                <w:bCs/>
                <w:spacing w:val="-5"/>
                <w:w w:val="105"/>
                <w:sz w:val="20"/>
                <w:szCs w:val="20"/>
              </w:rPr>
              <w:t xml:space="preserve"> :</w:t>
            </w:r>
            <w:proofErr w:type="gramEnd"/>
            <w:r w:rsidR="00C62305" w:rsidRPr="005E52D7">
              <w:rPr>
                <w:b/>
                <w:bCs/>
                <w:spacing w:val="-5"/>
                <w:w w:val="105"/>
                <w:sz w:val="20"/>
                <w:szCs w:val="20"/>
              </w:rPr>
              <w:t xml:space="preserve"> </w:t>
            </w:r>
            <w:r w:rsidR="005A5B2B" w:rsidRPr="005E52D7">
              <w:rPr>
                <w:b/>
                <w:bCs/>
                <w:spacing w:val="-5"/>
                <w:w w:val="105"/>
                <w:sz w:val="20"/>
                <w:szCs w:val="20"/>
              </w:rPr>
              <w:t>Men</w:t>
            </w:r>
          </w:p>
        </w:tc>
      </w:tr>
      <w:tr w:rsidR="005A5B2B" w:rsidRPr="005E52D7" w14:paraId="6D421EFC" w14:textId="77777777" w:rsidTr="005F357B">
        <w:trPr>
          <w:trHeight w:val="839"/>
        </w:trPr>
        <w:tc>
          <w:tcPr>
            <w:tcW w:w="1271" w:type="dxa"/>
            <w:vAlign w:val="center"/>
          </w:tcPr>
          <w:p w14:paraId="41C4F514" w14:textId="77777777" w:rsidR="005A5B2B" w:rsidRPr="005E52D7" w:rsidRDefault="005A5B2B" w:rsidP="005E52D7">
            <w:pPr>
              <w:pStyle w:val="TableParagraph"/>
              <w:ind w:right="0"/>
              <w:jc w:val="left"/>
              <w:rPr>
                <w:b/>
                <w:bCs/>
                <w:sz w:val="20"/>
                <w:szCs w:val="20"/>
              </w:rPr>
            </w:pPr>
            <w:r w:rsidRPr="005E52D7">
              <w:rPr>
                <w:b/>
                <w:bCs/>
                <w:sz w:val="20"/>
                <w:szCs w:val="20"/>
              </w:rPr>
              <w:t>2020-</w:t>
            </w:r>
            <w:r w:rsidRPr="005E52D7">
              <w:rPr>
                <w:b/>
                <w:bCs/>
                <w:spacing w:val="-5"/>
                <w:sz w:val="20"/>
                <w:szCs w:val="20"/>
              </w:rPr>
              <w:t>21</w:t>
            </w:r>
          </w:p>
        </w:tc>
        <w:tc>
          <w:tcPr>
            <w:tcW w:w="1418" w:type="dxa"/>
            <w:vAlign w:val="center"/>
          </w:tcPr>
          <w:p w14:paraId="3BFAE6C5" w14:textId="6D60C7EC" w:rsidR="005A5B2B" w:rsidRPr="005E52D7" w:rsidRDefault="005A5B2B" w:rsidP="005E52D7">
            <w:pPr>
              <w:pStyle w:val="TableParagraph"/>
              <w:ind w:left="1"/>
              <w:jc w:val="left"/>
              <w:rPr>
                <w:sz w:val="20"/>
                <w:szCs w:val="20"/>
              </w:rPr>
            </w:pPr>
            <w:r w:rsidRPr="005E52D7">
              <w:rPr>
                <w:spacing w:val="-5"/>
                <w:w w:val="105"/>
                <w:sz w:val="20"/>
                <w:szCs w:val="20"/>
              </w:rPr>
              <w:t>83</w:t>
            </w:r>
          </w:p>
        </w:tc>
        <w:tc>
          <w:tcPr>
            <w:tcW w:w="1275" w:type="dxa"/>
            <w:vAlign w:val="center"/>
          </w:tcPr>
          <w:p w14:paraId="2373D9A0" w14:textId="6491414A" w:rsidR="005A5B2B" w:rsidRPr="005E52D7" w:rsidRDefault="005A5B2B" w:rsidP="005E52D7">
            <w:pPr>
              <w:pStyle w:val="TableParagraph"/>
              <w:ind w:left="1"/>
              <w:jc w:val="left"/>
              <w:rPr>
                <w:sz w:val="20"/>
                <w:szCs w:val="20"/>
              </w:rPr>
            </w:pPr>
            <w:r w:rsidRPr="005E52D7">
              <w:rPr>
                <w:spacing w:val="-5"/>
                <w:w w:val="105"/>
                <w:sz w:val="20"/>
                <w:szCs w:val="20"/>
              </w:rPr>
              <w:t>17</w:t>
            </w:r>
          </w:p>
        </w:tc>
        <w:tc>
          <w:tcPr>
            <w:tcW w:w="1134" w:type="dxa"/>
            <w:vAlign w:val="center"/>
          </w:tcPr>
          <w:p w14:paraId="2E70A299" w14:textId="7DCD4781" w:rsidR="005A5B2B" w:rsidRPr="005E52D7" w:rsidRDefault="005A5B2B" w:rsidP="005E52D7">
            <w:pPr>
              <w:pStyle w:val="TableParagraph"/>
              <w:jc w:val="left"/>
              <w:rPr>
                <w:sz w:val="20"/>
                <w:szCs w:val="20"/>
              </w:rPr>
            </w:pPr>
            <w:r w:rsidRPr="005E52D7">
              <w:rPr>
                <w:spacing w:val="-5"/>
                <w:w w:val="105"/>
                <w:sz w:val="20"/>
                <w:szCs w:val="20"/>
              </w:rPr>
              <w:t>89</w:t>
            </w:r>
          </w:p>
        </w:tc>
        <w:tc>
          <w:tcPr>
            <w:tcW w:w="1276" w:type="dxa"/>
            <w:vAlign w:val="center"/>
          </w:tcPr>
          <w:p w14:paraId="321A8865" w14:textId="36C2BF0E" w:rsidR="005A5B2B" w:rsidRPr="005E52D7" w:rsidRDefault="005A5B2B" w:rsidP="005E52D7">
            <w:pPr>
              <w:pStyle w:val="TableParagraph"/>
              <w:jc w:val="left"/>
              <w:rPr>
                <w:sz w:val="20"/>
                <w:szCs w:val="20"/>
              </w:rPr>
            </w:pPr>
            <w:r w:rsidRPr="005E52D7">
              <w:rPr>
                <w:spacing w:val="-5"/>
                <w:w w:val="105"/>
                <w:sz w:val="20"/>
                <w:szCs w:val="20"/>
              </w:rPr>
              <w:t>11</w:t>
            </w:r>
          </w:p>
        </w:tc>
        <w:tc>
          <w:tcPr>
            <w:tcW w:w="1276" w:type="dxa"/>
            <w:vAlign w:val="center"/>
          </w:tcPr>
          <w:p w14:paraId="3EEF691A" w14:textId="1E336F0B" w:rsidR="005A5B2B" w:rsidRPr="005E52D7" w:rsidRDefault="005A5B2B" w:rsidP="005E52D7">
            <w:pPr>
              <w:pStyle w:val="TableParagraph"/>
              <w:ind w:left="1"/>
              <w:jc w:val="left"/>
              <w:rPr>
                <w:sz w:val="20"/>
                <w:szCs w:val="20"/>
              </w:rPr>
            </w:pPr>
            <w:r w:rsidRPr="005E52D7">
              <w:rPr>
                <w:spacing w:val="-5"/>
                <w:w w:val="105"/>
                <w:sz w:val="20"/>
                <w:szCs w:val="20"/>
              </w:rPr>
              <w:t>76</w:t>
            </w:r>
          </w:p>
        </w:tc>
        <w:tc>
          <w:tcPr>
            <w:tcW w:w="1276" w:type="dxa"/>
            <w:vAlign w:val="center"/>
          </w:tcPr>
          <w:p w14:paraId="019FDF31" w14:textId="0F85C1C1" w:rsidR="005A5B2B" w:rsidRPr="005E52D7" w:rsidRDefault="005A5B2B" w:rsidP="005E52D7">
            <w:pPr>
              <w:pStyle w:val="TableParagraph"/>
              <w:ind w:left="1"/>
              <w:jc w:val="left"/>
              <w:rPr>
                <w:sz w:val="20"/>
                <w:szCs w:val="20"/>
              </w:rPr>
            </w:pPr>
            <w:r w:rsidRPr="005E52D7">
              <w:rPr>
                <w:spacing w:val="-5"/>
                <w:w w:val="105"/>
                <w:sz w:val="20"/>
                <w:szCs w:val="20"/>
              </w:rPr>
              <w:t>24</w:t>
            </w:r>
          </w:p>
        </w:tc>
      </w:tr>
      <w:tr w:rsidR="005A5B2B" w:rsidRPr="005E52D7" w14:paraId="3C0EDAAC" w14:textId="77777777" w:rsidTr="005F357B">
        <w:trPr>
          <w:trHeight w:val="839"/>
        </w:trPr>
        <w:tc>
          <w:tcPr>
            <w:tcW w:w="1271" w:type="dxa"/>
            <w:vAlign w:val="center"/>
          </w:tcPr>
          <w:p w14:paraId="1CAB8EA1" w14:textId="77777777" w:rsidR="005A5B2B" w:rsidRPr="005E52D7" w:rsidRDefault="005A5B2B" w:rsidP="005E52D7">
            <w:pPr>
              <w:pStyle w:val="TableParagraph"/>
              <w:ind w:right="0"/>
              <w:jc w:val="left"/>
              <w:rPr>
                <w:b/>
                <w:bCs/>
                <w:sz w:val="20"/>
                <w:szCs w:val="20"/>
              </w:rPr>
            </w:pPr>
            <w:r w:rsidRPr="005E52D7">
              <w:rPr>
                <w:b/>
                <w:bCs/>
                <w:sz w:val="20"/>
                <w:szCs w:val="20"/>
              </w:rPr>
              <w:t>2021-</w:t>
            </w:r>
            <w:r w:rsidRPr="005E52D7">
              <w:rPr>
                <w:b/>
                <w:bCs/>
                <w:spacing w:val="-5"/>
                <w:sz w:val="20"/>
                <w:szCs w:val="20"/>
              </w:rPr>
              <w:t>22</w:t>
            </w:r>
          </w:p>
        </w:tc>
        <w:tc>
          <w:tcPr>
            <w:tcW w:w="1418" w:type="dxa"/>
            <w:vAlign w:val="center"/>
          </w:tcPr>
          <w:p w14:paraId="7C8B76D9" w14:textId="34E287F8" w:rsidR="005A5B2B" w:rsidRPr="005E52D7" w:rsidRDefault="005A5B2B" w:rsidP="005E52D7">
            <w:pPr>
              <w:pStyle w:val="TableParagraph"/>
              <w:ind w:left="1"/>
              <w:jc w:val="left"/>
              <w:rPr>
                <w:sz w:val="20"/>
                <w:szCs w:val="20"/>
              </w:rPr>
            </w:pPr>
            <w:r w:rsidRPr="005E52D7">
              <w:rPr>
                <w:spacing w:val="-5"/>
                <w:w w:val="105"/>
                <w:sz w:val="20"/>
                <w:szCs w:val="20"/>
              </w:rPr>
              <w:t>83</w:t>
            </w:r>
          </w:p>
        </w:tc>
        <w:tc>
          <w:tcPr>
            <w:tcW w:w="1275" w:type="dxa"/>
            <w:vAlign w:val="center"/>
          </w:tcPr>
          <w:p w14:paraId="0D5B6429" w14:textId="3382991D" w:rsidR="005A5B2B" w:rsidRPr="005E52D7" w:rsidRDefault="005A5B2B" w:rsidP="005E52D7">
            <w:pPr>
              <w:pStyle w:val="TableParagraph"/>
              <w:jc w:val="left"/>
              <w:rPr>
                <w:sz w:val="20"/>
                <w:szCs w:val="20"/>
              </w:rPr>
            </w:pPr>
            <w:r w:rsidRPr="005E52D7">
              <w:rPr>
                <w:spacing w:val="-5"/>
                <w:w w:val="105"/>
                <w:sz w:val="20"/>
                <w:szCs w:val="20"/>
              </w:rPr>
              <w:t>17</w:t>
            </w:r>
          </w:p>
        </w:tc>
        <w:tc>
          <w:tcPr>
            <w:tcW w:w="1134" w:type="dxa"/>
            <w:vAlign w:val="center"/>
          </w:tcPr>
          <w:p w14:paraId="061E4028" w14:textId="473D2709" w:rsidR="005A5B2B" w:rsidRPr="005E52D7" w:rsidRDefault="005A5B2B" w:rsidP="005E52D7">
            <w:pPr>
              <w:pStyle w:val="TableParagraph"/>
              <w:jc w:val="left"/>
              <w:rPr>
                <w:sz w:val="20"/>
                <w:szCs w:val="20"/>
              </w:rPr>
            </w:pPr>
            <w:r w:rsidRPr="005E52D7">
              <w:rPr>
                <w:spacing w:val="-5"/>
                <w:w w:val="105"/>
                <w:sz w:val="20"/>
                <w:szCs w:val="20"/>
              </w:rPr>
              <w:t>81</w:t>
            </w:r>
          </w:p>
        </w:tc>
        <w:tc>
          <w:tcPr>
            <w:tcW w:w="1276" w:type="dxa"/>
            <w:vAlign w:val="center"/>
          </w:tcPr>
          <w:p w14:paraId="518FE80A" w14:textId="682846CA" w:rsidR="005A5B2B" w:rsidRPr="005E52D7" w:rsidRDefault="005A5B2B" w:rsidP="005E52D7">
            <w:pPr>
              <w:pStyle w:val="TableParagraph"/>
              <w:ind w:left="1"/>
              <w:jc w:val="left"/>
              <w:rPr>
                <w:sz w:val="20"/>
                <w:szCs w:val="20"/>
              </w:rPr>
            </w:pPr>
            <w:r w:rsidRPr="005E52D7">
              <w:rPr>
                <w:spacing w:val="-5"/>
                <w:w w:val="105"/>
                <w:sz w:val="20"/>
                <w:szCs w:val="20"/>
              </w:rPr>
              <w:t>19</w:t>
            </w:r>
          </w:p>
        </w:tc>
        <w:tc>
          <w:tcPr>
            <w:tcW w:w="1276" w:type="dxa"/>
            <w:vAlign w:val="center"/>
          </w:tcPr>
          <w:p w14:paraId="18C5B99A" w14:textId="3637C859" w:rsidR="005A5B2B" w:rsidRPr="005E52D7" w:rsidRDefault="005A5B2B" w:rsidP="005E52D7">
            <w:pPr>
              <w:pStyle w:val="TableParagraph"/>
              <w:ind w:left="1"/>
              <w:jc w:val="left"/>
              <w:rPr>
                <w:sz w:val="20"/>
                <w:szCs w:val="20"/>
              </w:rPr>
            </w:pPr>
            <w:r w:rsidRPr="005E52D7">
              <w:rPr>
                <w:spacing w:val="-5"/>
                <w:w w:val="105"/>
                <w:sz w:val="20"/>
                <w:szCs w:val="20"/>
              </w:rPr>
              <w:t>81</w:t>
            </w:r>
          </w:p>
        </w:tc>
        <w:tc>
          <w:tcPr>
            <w:tcW w:w="1276" w:type="dxa"/>
            <w:vAlign w:val="center"/>
          </w:tcPr>
          <w:p w14:paraId="746E06FC" w14:textId="02A1AD66" w:rsidR="005A5B2B" w:rsidRPr="005E52D7" w:rsidRDefault="005A5B2B" w:rsidP="005E52D7">
            <w:pPr>
              <w:pStyle w:val="TableParagraph"/>
              <w:jc w:val="left"/>
              <w:rPr>
                <w:sz w:val="20"/>
                <w:szCs w:val="20"/>
              </w:rPr>
            </w:pPr>
            <w:r w:rsidRPr="005E52D7">
              <w:rPr>
                <w:spacing w:val="-5"/>
                <w:w w:val="105"/>
                <w:sz w:val="20"/>
                <w:szCs w:val="20"/>
              </w:rPr>
              <w:t>19</w:t>
            </w:r>
          </w:p>
        </w:tc>
      </w:tr>
      <w:tr w:rsidR="005A5B2B" w:rsidRPr="005E52D7" w14:paraId="1D19B89C" w14:textId="77777777" w:rsidTr="005F357B">
        <w:trPr>
          <w:trHeight w:val="839"/>
        </w:trPr>
        <w:tc>
          <w:tcPr>
            <w:tcW w:w="1271" w:type="dxa"/>
            <w:vAlign w:val="center"/>
          </w:tcPr>
          <w:p w14:paraId="20E7CC55" w14:textId="77777777" w:rsidR="005A5B2B" w:rsidRPr="005E52D7" w:rsidRDefault="005A5B2B" w:rsidP="005E52D7">
            <w:pPr>
              <w:pStyle w:val="TableParagraph"/>
              <w:ind w:right="0"/>
              <w:jc w:val="left"/>
              <w:rPr>
                <w:b/>
                <w:bCs/>
                <w:sz w:val="20"/>
                <w:szCs w:val="20"/>
              </w:rPr>
            </w:pPr>
            <w:r w:rsidRPr="005E52D7">
              <w:rPr>
                <w:b/>
                <w:bCs/>
                <w:sz w:val="20"/>
                <w:szCs w:val="20"/>
              </w:rPr>
              <w:t>2022-</w:t>
            </w:r>
            <w:r w:rsidRPr="005E52D7">
              <w:rPr>
                <w:b/>
                <w:bCs/>
                <w:spacing w:val="-5"/>
                <w:sz w:val="20"/>
                <w:szCs w:val="20"/>
              </w:rPr>
              <w:t>23</w:t>
            </w:r>
          </w:p>
        </w:tc>
        <w:tc>
          <w:tcPr>
            <w:tcW w:w="1418" w:type="dxa"/>
            <w:vAlign w:val="center"/>
          </w:tcPr>
          <w:p w14:paraId="7796962B" w14:textId="718709D6" w:rsidR="005A5B2B" w:rsidRPr="005E52D7" w:rsidRDefault="005A5B2B" w:rsidP="005E52D7">
            <w:pPr>
              <w:pStyle w:val="TableParagraph"/>
              <w:jc w:val="left"/>
              <w:rPr>
                <w:sz w:val="20"/>
                <w:szCs w:val="20"/>
              </w:rPr>
            </w:pPr>
            <w:r w:rsidRPr="005E52D7">
              <w:rPr>
                <w:spacing w:val="-5"/>
                <w:w w:val="105"/>
                <w:sz w:val="20"/>
                <w:szCs w:val="20"/>
              </w:rPr>
              <w:t>67</w:t>
            </w:r>
          </w:p>
        </w:tc>
        <w:tc>
          <w:tcPr>
            <w:tcW w:w="1275" w:type="dxa"/>
            <w:vAlign w:val="center"/>
          </w:tcPr>
          <w:p w14:paraId="670BDFC9" w14:textId="3438B039" w:rsidR="005A5B2B" w:rsidRPr="005E52D7" w:rsidRDefault="005A5B2B" w:rsidP="005E52D7">
            <w:pPr>
              <w:pStyle w:val="TableParagraph"/>
              <w:jc w:val="left"/>
              <w:rPr>
                <w:sz w:val="20"/>
                <w:szCs w:val="20"/>
              </w:rPr>
            </w:pPr>
            <w:r w:rsidRPr="005E52D7">
              <w:rPr>
                <w:spacing w:val="-5"/>
                <w:w w:val="105"/>
                <w:sz w:val="20"/>
                <w:szCs w:val="20"/>
              </w:rPr>
              <w:t>33</w:t>
            </w:r>
          </w:p>
        </w:tc>
        <w:tc>
          <w:tcPr>
            <w:tcW w:w="1134" w:type="dxa"/>
            <w:vAlign w:val="center"/>
          </w:tcPr>
          <w:p w14:paraId="4D951F13" w14:textId="100F51D3" w:rsidR="005A5B2B" w:rsidRPr="005E52D7" w:rsidRDefault="005A5B2B" w:rsidP="005E52D7">
            <w:pPr>
              <w:pStyle w:val="TableParagraph"/>
              <w:ind w:left="1"/>
              <w:jc w:val="left"/>
              <w:rPr>
                <w:sz w:val="20"/>
                <w:szCs w:val="20"/>
              </w:rPr>
            </w:pPr>
            <w:r w:rsidRPr="005E52D7">
              <w:rPr>
                <w:spacing w:val="-5"/>
                <w:w w:val="105"/>
                <w:sz w:val="20"/>
                <w:szCs w:val="20"/>
              </w:rPr>
              <w:t>76</w:t>
            </w:r>
          </w:p>
        </w:tc>
        <w:tc>
          <w:tcPr>
            <w:tcW w:w="1276" w:type="dxa"/>
            <w:vAlign w:val="center"/>
          </w:tcPr>
          <w:p w14:paraId="6CD5FBCF" w14:textId="6C3090E4" w:rsidR="005A5B2B" w:rsidRPr="005E52D7" w:rsidRDefault="005A5B2B" w:rsidP="005E52D7">
            <w:pPr>
              <w:pStyle w:val="TableParagraph"/>
              <w:ind w:left="1"/>
              <w:jc w:val="left"/>
              <w:rPr>
                <w:sz w:val="20"/>
                <w:szCs w:val="20"/>
              </w:rPr>
            </w:pPr>
            <w:r w:rsidRPr="005E52D7">
              <w:rPr>
                <w:spacing w:val="-5"/>
                <w:w w:val="105"/>
                <w:sz w:val="20"/>
                <w:szCs w:val="20"/>
              </w:rPr>
              <w:t>24</w:t>
            </w:r>
          </w:p>
        </w:tc>
        <w:tc>
          <w:tcPr>
            <w:tcW w:w="1276" w:type="dxa"/>
            <w:vAlign w:val="center"/>
          </w:tcPr>
          <w:p w14:paraId="682A2138" w14:textId="150DBF86" w:rsidR="005A5B2B" w:rsidRPr="005E52D7" w:rsidRDefault="005A5B2B" w:rsidP="005E52D7">
            <w:pPr>
              <w:pStyle w:val="TableParagraph"/>
              <w:jc w:val="left"/>
              <w:rPr>
                <w:sz w:val="20"/>
                <w:szCs w:val="20"/>
              </w:rPr>
            </w:pPr>
            <w:r w:rsidRPr="005E52D7">
              <w:rPr>
                <w:spacing w:val="-5"/>
                <w:w w:val="105"/>
                <w:sz w:val="20"/>
                <w:szCs w:val="20"/>
              </w:rPr>
              <w:t>84</w:t>
            </w:r>
          </w:p>
        </w:tc>
        <w:tc>
          <w:tcPr>
            <w:tcW w:w="1276" w:type="dxa"/>
            <w:vAlign w:val="center"/>
          </w:tcPr>
          <w:p w14:paraId="33494646" w14:textId="4B792C34" w:rsidR="005A5B2B" w:rsidRPr="005E52D7" w:rsidRDefault="005A5B2B" w:rsidP="005E52D7">
            <w:pPr>
              <w:pStyle w:val="TableParagraph"/>
              <w:jc w:val="left"/>
              <w:rPr>
                <w:sz w:val="20"/>
                <w:szCs w:val="20"/>
              </w:rPr>
            </w:pPr>
            <w:r w:rsidRPr="005E52D7">
              <w:rPr>
                <w:spacing w:val="-5"/>
                <w:w w:val="105"/>
                <w:sz w:val="20"/>
                <w:szCs w:val="20"/>
              </w:rPr>
              <w:t>16</w:t>
            </w:r>
          </w:p>
        </w:tc>
      </w:tr>
    </w:tbl>
    <w:p w14:paraId="5709C2E6" w14:textId="2C8E95B0" w:rsidR="00390160" w:rsidRDefault="00390160" w:rsidP="00390160">
      <w:pPr>
        <w:pStyle w:val="BodyText"/>
      </w:pPr>
      <w:r>
        <w:t>Over the last three years, there has been an increase in the proportion of men in more senior roles and reduction of men in non-management roles. NDS is looking at ways to reverse this trend.</w:t>
      </w:r>
    </w:p>
    <w:p w14:paraId="3294E2CD" w14:textId="7954BE42" w:rsidR="0002130A" w:rsidRDefault="00390160" w:rsidP="00390160">
      <w:pPr>
        <w:pStyle w:val="BodyText"/>
      </w:pPr>
      <w:r>
        <w:t xml:space="preserve">Key Management Personnel in line with Australian Accounting Standards Board AASB124, KMPs have the authority and responsibility for planning, </w:t>
      </w:r>
      <w:proofErr w:type="gramStart"/>
      <w:r>
        <w:t>directing</w:t>
      </w:r>
      <w:proofErr w:type="gramEnd"/>
      <w:r>
        <w:t xml:space="preserve"> and controlling the activities of an entity, directly or indirectly. This includes any director (executive or otherwise) of that entity. A defining feature of KMPs is their influence is at the entity level. KMPs are likely to direct the strategic function of their section and are often functional heads, such as head</w:t>
      </w:r>
      <w:r w:rsidR="005A5B2B">
        <w:t xml:space="preserve"> </w:t>
      </w:r>
      <w:r>
        <w:t>of operations or head of finance. They represent at least one of the major</w:t>
      </w:r>
      <w:r w:rsidR="0002130A">
        <w:t xml:space="preserve"> </w:t>
      </w:r>
      <w:proofErr w:type="gramStart"/>
      <w:r>
        <w:t>function</w:t>
      </w:r>
      <w:proofErr w:type="gramEnd"/>
      <w:r>
        <w:t xml:space="preserve"> of an</w:t>
      </w:r>
      <w:r w:rsidR="005A5B2B">
        <w:t xml:space="preserve"> </w:t>
      </w:r>
      <w:proofErr w:type="spellStart"/>
      <w:r>
        <w:t>organisation</w:t>
      </w:r>
      <w:proofErr w:type="spellEnd"/>
      <w:r>
        <w:t xml:space="preserve"> and participate in </w:t>
      </w:r>
      <w:proofErr w:type="spellStart"/>
      <w:r>
        <w:t>organisation</w:t>
      </w:r>
      <w:proofErr w:type="spellEnd"/>
      <w:r>
        <w:t>-wide decisions.</w:t>
      </w:r>
    </w:p>
    <w:p w14:paraId="586AC339" w14:textId="77777777" w:rsidR="0002130A" w:rsidRDefault="0002130A">
      <w:pPr>
        <w:spacing w:before="0" w:after="160" w:line="259" w:lineRule="auto"/>
        <w:rPr>
          <w:rFonts w:eastAsia="Calibri" w:cs="Calibri"/>
          <w:lang w:val="en-US"/>
        </w:rPr>
      </w:pPr>
      <w:r>
        <w:br w:type="page"/>
      </w:r>
    </w:p>
    <w:tbl>
      <w:tblPr>
        <w:tblStyle w:val="TableGrid"/>
        <w:tblW w:w="6307" w:type="dxa"/>
        <w:tblLayout w:type="fixed"/>
        <w:tblLook w:val="00A0" w:firstRow="1" w:lastRow="0" w:firstColumn="1" w:lastColumn="0" w:noHBand="0" w:noVBand="0"/>
        <w:tblCaption w:val="Table 2"/>
        <w:tblDescription w:val="This table shows there was a higher proportion of men appointed to management compared to non- management roles in 2022–23"/>
      </w:tblPr>
      <w:tblGrid>
        <w:gridCol w:w="3778"/>
        <w:gridCol w:w="1261"/>
        <w:gridCol w:w="1268"/>
      </w:tblGrid>
      <w:tr w:rsidR="00FC5F59" w:rsidRPr="00632478" w14:paraId="0DFDE0DE" w14:textId="77777777" w:rsidTr="005F357B">
        <w:trPr>
          <w:trHeight w:val="648"/>
        </w:trPr>
        <w:tc>
          <w:tcPr>
            <w:tcW w:w="3778" w:type="dxa"/>
            <w:vAlign w:val="center"/>
          </w:tcPr>
          <w:p w14:paraId="12CD05B4" w14:textId="029C21D1" w:rsidR="00FC5F59" w:rsidRPr="00632478" w:rsidRDefault="00564479" w:rsidP="00564479">
            <w:pPr>
              <w:pStyle w:val="TableParagraph"/>
              <w:spacing w:before="0"/>
              <w:ind w:right="0"/>
              <w:jc w:val="left"/>
              <w:rPr>
                <w:sz w:val="24"/>
              </w:rPr>
            </w:pPr>
            <w:r>
              <w:rPr>
                <w:sz w:val="24"/>
              </w:rPr>
              <w:lastRenderedPageBreak/>
              <w:t>Appo</w:t>
            </w:r>
            <w:bookmarkStart w:id="6" w:name="Table_2"/>
            <w:bookmarkEnd w:id="6"/>
            <w:r>
              <w:rPr>
                <w:sz w:val="24"/>
              </w:rPr>
              <w:t>intments</w:t>
            </w:r>
          </w:p>
        </w:tc>
        <w:tc>
          <w:tcPr>
            <w:tcW w:w="1261" w:type="dxa"/>
            <w:vAlign w:val="center"/>
          </w:tcPr>
          <w:p w14:paraId="5E609611" w14:textId="0C657338" w:rsidR="00FC5F59" w:rsidRPr="00632478" w:rsidRDefault="00FC5F59" w:rsidP="00564479">
            <w:pPr>
              <w:pStyle w:val="TableParagraph"/>
              <w:ind w:left="2" w:right="0"/>
              <w:jc w:val="left"/>
              <w:rPr>
                <w:b/>
                <w:bCs/>
                <w:sz w:val="24"/>
                <w:szCs w:val="24"/>
              </w:rPr>
            </w:pPr>
            <w:r>
              <w:rPr>
                <w:b/>
                <w:bCs/>
                <w:sz w:val="24"/>
                <w:szCs w:val="24"/>
              </w:rPr>
              <w:t>Female</w:t>
            </w:r>
          </w:p>
        </w:tc>
        <w:tc>
          <w:tcPr>
            <w:tcW w:w="1268" w:type="dxa"/>
            <w:vAlign w:val="center"/>
          </w:tcPr>
          <w:p w14:paraId="3A69F58C" w14:textId="5750E1AF" w:rsidR="00FC5F59" w:rsidRPr="00632478" w:rsidRDefault="00FC5F59" w:rsidP="00564479">
            <w:pPr>
              <w:pStyle w:val="TableParagraph"/>
              <w:ind w:right="0"/>
              <w:jc w:val="left"/>
              <w:rPr>
                <w:b/>
                <w:bCs/>
                <w:sz w:val="24"/>
                <w:szCs w:val="24"/>
              </w:rPr>
            </w:pPr>
            <w:r>
              <w:rPr>
                <w:b/>
                <w:bCs/>
                <w:sz w:val="24"/>
                <w:szCs w:val="24"/>
              </w:rPr>
              <w:t>Male</w:t>
            </w:r>
          </w:p>
        </w:tc>
      </w:tr>
      <w:tr w:rsidR="00FC5F59" w:rsidRPr="00632478" w14:paraId="2DF48EF8" w14:textId="77777777" w:rsidTr="005F357B">
        <w:trPr>
          <w:trHeight w:val="965"/>
        </w:trPr>
        <w:tc>
          <w:tcPr>
            <w:tcW w:w="3778" w:type="dxa"/>
            <w:vAlign w:val="center"/>
          </w:tcPr>
          <w:p w14:paraId="095497A3" w14:textId="77777777" w:rsidR="00FC5F59" w:rsidRPr="00632478" w:rsidRDefault="00FC5F59" w:rsidP="00564479">
            <w:pPr>
              <w:pStyle w:val="TableParagraph"/>
              <w:spacing w:line="261" w:lineRule="auto"/>
              <w:ind w:right="439"/>
              <w:jc w:val="left"/>
              <w:rPr>
                <w:sz w:val="24"/>
              </w:rPr>
            </w:pPr>
            <w:r w:rsidRPr="00632478">
              <w:rPr>
                <w:sz w:val="24"/>
              </w:rPr>
              <w:t>Appointments to manager roles (incl promotions)</w:t>
            </w:r>
          </w:p>
        </w:tc>
        <w:tc>
          <w:tcPr>
            <w:tcW w:w="1261" w:type="dxa"/>
            <w:vAlign w:val="center"/>
          </w:tcPr>
          <w:p w14:paraId="33C3A82C" w14:textId="77777777" w:rsidR="00FC5F59" w:rsidRPr="00632478" w:rsidRDefault="00FC5F59" w:rsidP="00564479">
            <w:pPr>
              <w:pStyle w:val="TableParagraph"/>
              <w:spacing w:before="42"/>
              <w:ind w:right="0"/>
              <w:jc w:val="left"/>
              <w:rPr>
                <w:sz w:val="24"/>
              </w:rPr>
            </w:pPr>
          </w:p>
          <w:p w14:paraId="7417637E" w14:textId="2E3B087D" w:rsidR="00FC5F59" w:rsidRPr="00632478" w:rsidRDefault="00FC5F59" w:rsidP="00564479">
            <w:pPr>
              <w:pStyle w:val="TableParagraph"/>
              <w:spacing w:before="0"/>
              <w:ind w:left="5" w:right="2"/>
              <w:jc w:val="left"/>
              <w:rPr>
                <w:sz w:val="24"/>
              </w:rPr>
            </w:pPr>
            <w:r>
              <w:rPr>
                <w:spacing w:val="-5"/>
                <w:w w:val="105"/>
                <w:sz w:val="24"/>
              </w:rPr>
              <w:t xml:space="preserve">14 or </w:t>
            </w:r>
            <w:r w:rsidRPr="00632478">
              <w:rPr>
                <w:spacing w:val="-5"/>
                <w:w w:val="105"/>
                <w:sz w:val="24"/>
              </w:rPr>
              <w:t>70</w:t>
            </w:r>
            <w:r>
              <w:rPr>
                <w:spacing w:val="-5"/>
                <w:w w:val="105"/>
                <w:sz w:val="24"/>
              </w:rPr>
              <w:t xml:space="preserve"> per cent</w:t>
            </w:r>
          </w:p>
        </w:tc>
        <w:tc>
          <w:tcPr>
            <w:tcW w:w="1268" w:type="dxa"/>
            <w:vAlign w:val="center"/>
          </w:tcPr>
          <w:p w14:paraId="67E3184B" w14:textId="77777777" w:rsidR="00FC5F59" w:rsidRPr="00632478" w:rsidRDefault="00FC5F59" w:rsidP="00564479">
            <w:pPr>
              <w:pStyle w:val="TableParagraph"/>
              <w:spacing w:before="42"/>
              <w:ind w:right="0"/>
              <w:jc w:val="left"/>
              <w:rPr>
                <w:sz w:val="24"/>
              </w:rPr>
            </w:pPr>
          </w:p>
          <w:p w14:paraId="0E27F527" w14:textId="6E7EE506" w:rsidR="00FC5F59" w:rsidRPr="00632478" w:rsidRDefault="00FC5F59" w:rsidP="00564479">
            <w:pPr>
              <w:pStyle w:val="TableParagraph"/>
              <w:spacing w:before="0"/>
              <w:jc w:val="left"/>
              <w:rPr>
                <w:sz w:val="24"/>
              </w:rPr>
            </w:pPr>
            <w:r>
              <w:rPr>
                <w:spacing w:val="-5"/>
                <w:w w:val="105"/>
                <w:sz w:val="24"/>
              </w:rPr>
              <w:t xml:space="preserve">6 or </w:t>
            </w:r>
            <w:r w:rsidRPr="00632478">
              <w:rPr>
                <w:spacing w:val="-5"/>
                <w:w w:val="105"/>
                <w:sz w:val="24"/>
              </w:rPr>
              <w:t>30</w:t>
            </w:r>
            <w:r>
              <w:rPr>
                <w:spacing w:val="-5"/>
                <w:w w:val="105"/>
                <w:sz w:val="24"/>
              </w:rPr>
              <w:t xml:space="preserve"> per cent</w:t>
            </w:r>
          </w:p>
        </w:tc>
      </w:tr>
      <w:tr w:rsidR="00FC5F59" w:rsidRPr="00632478" w14:paraId="06B900BB" w14:textId="77777777" w:rsidTr="005F357B">
        <w:trPr>
          <w:trHeight w:val="965"/>
        </w:trPr>
        <w:tc>
          <w:tcPr>
            <w:tcW w:w="3778" w:type="dxa"/>
            <w:vAlign w:val="center"/>
          </w:tcPr>
          <w:p w14:paraId="1A1D839B" w14:textId="77777777" w:rsidR="00FC5F59" w:rsidRPr="00632478" w:rsidRDefault="00FC5F59" w:rsidP="00564479">
            <w:pPr>
              <w:pStyle w:val="TableParagraph"/>
              <w:spacing w:line="261" w:lineRule="auto"/>
              <w:ind w:right="0"/>
              <w:jc w:val="left"/>
              <w:rPr>
                <w:sz w:val="24"/>
              </w:rPr>
            </w:pPr>
            <w:r w:rsidRPr="00632478">
              <w:rPr>
                <w:sz w:val="24"/>
              </w:rPr>
              <w:t>Appointments to non-manager roles (incl promotions)</w:t>
            </w:r>
          </w:p>
        </w:tc>
        <w:tc>
          <w:tcPr>
            <w:tcW w:w="1261" w:type="dxa"/>
            <w:vAlign w:val="center"/>
          </w:tcPr>
          <w:p w14:paraId="362B98EB" w14:textId="77777777" w:rsidR="00FC5F59" w:rsidRPr="00632478" w:rsidRDefault="00FC5F59" w:rsidP="00564479">
            <w:pPr>
              <w:pStyle w:val="TableParagraph"/>
              <w:spacing w:before="42"/>
              <w:ind w:right="0"/>
              <w:jc w:val="left"/>
              <w:rPr>
                <w:sz w:val="24"/>
              </w:rPr>
            </w:pPr>
          </w:p>
          <w:p w14:paraId="41964FBB" w14:textId="07544277" w:rsidR="00FC5F59" w:rsidRPr="00632478" w:rsidRDefault="00FC5F59" w:rsidP="00564479">
            <w:pPr>
              <w:pStyle w:val="TableParagraph"/>
              <w:spacing w:before="0"/>
              <w:ind w:left="5" w:right="3"/>
              <w:jc w:val="left"/>
              <w:rPr>
                <w:sz w:val="24"/>
              </w:rPr>
            </w:pPr>
            <w:r>
              <w:rPr>
                <w:spacing w:val="-5"/>
                <w:w w:val="105"/>
                <w:sz w:val="24"/>
              </w:rPr>
              <w:t xml:space="preserve">45 or </w:t>
            </w:r>
            <w:r w:rsidRPr="00632478">
              <w:rPr>
                <w:spacing w:val="-5"/>
                <w:w w:val="105"/>
                <w:sz w:val="24"/>
              </w:rPr>
              <w:t>88</w:t>
            </w:r>
            <w:r>
              <w:rPr>
                <w:spacing w:val="-5"/>
                <w:w w:val="105"/>
                <w:sz w:val="24"/>
              </w:rPr>
              <w:t xml:space="preserve"> per cent</w:t>
            </w:r>
          </w:p>
        </w:tc>
        <w:tc>
          <w:tcPr>
            <w:tcW w:w="1268" w:type="dxa"/>
            <w:vAlign w:val="center"/>
          </w:tcPr>
          <w:p w14:paraId="05C01B4D" w14:textId="77777777" w:rsidR="00FC5F59" w:rsidRPr="00632478" w:rsidRDefault="00FC5F59" w:rsidP="00564479">
            <w:pPr>
              <w:pStyle w:val="TableParagraph"/>
              <w:spacing w:before="42"/>
              <w:ind w:right="0"/>
              <w:jc w:val="left"/>
              <w:rPr>
                <w:sz w:val="24"/>
              </w:rPr>
            </w:pPr>
          </w:p>
          <w:p w14:paraId="35E3FEF6" w14:textId="049B6482" w:rsidR="00FC5F59" w:rsidRPr="00632478" w:rsidRDefault="00FC5F59" w:rsidP="00564479">
            <w:pPr>
              <w:pStyle w:val="TableParagraph"/>
              <w:spacing w:before="0"/>
              <w:ind w:left="1"/>
              <w:jc w:val="left"/>
              <w:rPr>
                <w:sz w:val="24"/>
              </w:rPr>
            </w:pPr>
            <w:r>
              <w:rPr>
                <w:spacing w:val="-5"/>
                <w:w w:val="105"/>
                <w:sz w:val="24"/>
              </w:rPr>
              <w:t xml:space="preserve">6 or </w:t>
            </w:r>
            <w:r w:rsidRPr="00632478">
              <w:rPr>
                <w:spacing w:val="-5"/>
                <w:w w:val="105"/>
                <w:sz w:val="24"/>
              </w:rPr>
              <w:t>12</w:t>
            </w:r>
            <w:r>
              <w:rPr>
                <w:spacing w:val="-5"/>
                <w:w w:val="105"/>
                <w:sz w:val="24"/>
              </w:rPr>
              <w:t xml:space="preserve"> per cent</w:t>
            </w:r>
          </w:p>
        </w:tc>
      </w:tr>
    </w:tbl>
    <w:p w14:paraId="17879A61" w14:textId="77777777" w:rsidR="00390160" w:rsidRDefault="00390160" w:rsidP="00390160">
      <w:pPr>
        <w:pStyle w:val="BodyText"/>
      </w:pPr>
      <w:r>
        <w:t>There was a higher proportion of men appointed to management compared to non- management roles in 2022–23. This will cause an unequal distribution of men in more senior roles and a gender pay gap.</w:t>
      </w:r>
    </w:p>
    <w:tbl>
      <w:tblPr>
        <w:tblStyle w:val="TableGrid"/>
        <w:tblW w:w="0" w:type="auto"/>
        <w:tblLayout w:type="fixed"/>
        <w:tblLook w:val="00A0" w:firstRow="1" w:lastRow="0" w:firstColumn="1" w:lastColumn="0" w:noHBand="0" w:noVBand="0"/>
        <w:tblCaption w:val="Table 3"/>
        <w:tblDescription w:val="This table shows the percentage of full time, part time and casual staff by gender"/>
      </w:tblPr>
      <w:tblGrid>
        <w:gridCol w:w="1550"/>
        <w:gridCol w:w="1458"/>
        <w:gridCol w:w="1458"/>
        <w:gridCol w:w="1458"/>
      </w:tblGrid>
      <w:tr w:rsidR="005A5B2B" w:rsidRPr="00632478" w14:paraId="5AF7733E" w14:textId="77777777" w:rsidTr="006915FE">
        <w:trPr>
          <w:trHeight w:val="614"/>
        </w:trPr>
        <w:tc>
          <w:tcPr>
            <w:tcW w:w="1550" w:type="dxa"/>
            <w:vAlign w:val="center"/>
          </w:tcPr>
          <w:p w14:paraId="3996164C" w14:textId="483E3EF4" w:rsidR="005A5B2B" w:rsidRPr="00632478" w:rsidRDefault="006915FE" w:rsidP="006915FE">
            <w:pPr>
              <w:pStyle w:val="TableParagraph"/>
              <w:spacing w:before="0"/>
              <w:ind w:right="0"/>
              <w:jc w:val="left"/>
              <w:rPr>
                <w:sz w:val="24"/>
              </w:rPr>
            </w:pPr>
            <w:r>
              <w:rPr>
                <w:sz w:val="24"/>
              </w:rPr>
              <w:t>Gen</w:t>
            </w:r>
            <w:bookmarkStart w:id="7" w:name="Table_3"/>
            <w:bookmarkEnd w:id="7"/>
            <w:r>
              <w:rPr>
                <w:sz w:val="24"/>
              </w:rPr>
              <w:t>der</w:t>
            </w:r>
          </w:p>
        </w:tc>
        <w:tc>
          <w:tcPr>
            <w:tcW w:w="1458" w:type="dxa"/>
            <w:vAlign w:val="center"/>
          </w:tcPr>
          <w:p w14:paraId="4DE231EF" w14:textId="77777777" w:rsidR="005A5B2B" w:rsidRPr="00A418B0" w:rsidRDefault="005A5B2B" w:rsidP="006915FE">
            <w:pPr>
              <w:pStyle w:val="TableParagraph"/>
              <w:ind w:left="1"/>
              <w:jc w:val="left"/>
              <w:rPr>
                <w:bCs/>
                <w:sz w:val="24"/>
              </w:rPr>
            </w:pPr>
            <w:r w:rsidRPr="00A418B0">
              <w:rPr>
                <w:bCs/>
                <w:sz w:val="24"/>
              </w:rPr>
              <w:t>Full-</w:t>
            </w:r>
            <w:r w:rsidRPr="00A418B0">
              <w:rPr>
                <w:bCs/>
                <w:spacing w:val="-4"/>
                <w:sz w:val="24"/>
              </w:rPr>
              <w:t>time</w:t>
            </w:r>
          </w:p>
        </w:tc>
        <w:tc>
          <w:tcPr>
            <w:tcW w:w="1458" w:type="dxa"/>
            <w:vAlign w:val="center"/>
          </w:tcPr>
          <w:p w14:paraId="79A26CDF" w14:textId="77777777" w:rsidR="005A5B2B" w:rsidRPr="00A418B0" w:rsidRDefault="005A5B2B" w:rsidP="006915FE">
            <w:pPr>
              <w:pStyle w:val="TableParagraph"/>
              <w:jc w:val="left"/>
              <w:rPr>
                <w:bCs/>
                <w:sz w:val="24"/>
              </w:rPr>
            </w:pPr>
            <w:r w:rsidRPr="00A418B0">
              <w:rPr>
                <w:bCs/>
                <w:sz w:val="24"/>
              </w:rPr>
              <w:t>Part-</w:t>
            </w:r>
            <w:r w:rsidRPr="00A418B0">
              <w:rPr>
                <w:bCs/>
                <w:spacing w:val="-4"/>
                <w:sz w:val="24"/>
              </w:rPr>
              <w:t>time</w:t>
            </w:r>
          </w:p>
        </w:tc>
        <w:tc>
          <w:tcPr>
            <w:tcW w:w="1458" w:type="dxa"/>
            <w:vAlign w:val="center"/>
          </w:tcPr>
          <w:p w14:paraId="6737990D" w14:textId="77777777" w:rsidR="005A5B2B" w:rsidRPr="00A418B0" w:rsidRDefault="005A5B2B" w:rsidP="006915FE">
            <w:pPr>
              <w:pStyle w:val="TableParagraph"/>
              <w:jc w:val="left"/>
              <w:rPr>
                <w:bCs/>
                <w:sz w:val="24"/>
              </w:rPr>
            </w:pPr>
            <w:r w:rsidRPr="00A418B0">
              <w:rPr>
                <w:bCs/>
                <w:spacing w:val="-2"/>
                <w:sz w:val="24"/>
              </w:rPr>
              <w:t>Casual</w:t>
            </w:r>
          </w:p>
        </w:tc>
      </w:tr>
      <w:tr w:rsidR="005A5B2B" w:rsidRPr="00632478" w14:paraId="5E2CB53C" w14:textId="77777777" w:rsidTr="006915FE">
        <w:trPr>
          <w:trHeight w:val="614"/>
        </w:trPr>
        <w:tc>
          <w:tcPr>
            <w:tcW w:w="1550" w:type="dxa"/>
            <w:vAlign w:val="center"/>
          </w:tcPr>
          <w:p w14:paraId="620D0476" w14:textId="77777777" w:rsidR="005A5B2B" w:rsidRPr="00632478" w:rsidRDefault="005A5B2B" w:rsidP="006915FE">
            <w:pPr>
              <w:pStyle w:val="TableParagraph"/>
              <w:ind w:right="0"/>
              <w:jc w:val="left"/>
              <w:rPr>
                <w:sz w:val="24"/>
                <w:szCs w:val="24"/>
              </w:rPr>
            </w:pPr>
            <w:r w:rsidRPr="4490759F">
              <w:rPr>
                <w:spacing w:val="-2"/>
                <w:sz w:val="24"/>
                <w:szCs w:val="24"/>
              </w:rPr>
              <w:t>Female</w:t>
            </w:r>
          </w:p>
        </w:tc>
        <w:tc>
          <w:tcPr>
            <w:tcW w:w="1458" w:type="dxa"/>
            <w:vAlign w:val="center"/>
          </w:tcPr>
          <w:p w14:paraId="28711522" w14:textId="746AA1DB" w:rsidR="005A5B2B" w:rsidRPr="00632478" w:rsidRDefault="005A5B2B" w:rsidP="006915FE">
            <w:pPr>
              <w:pStyle w:val="TableParagraph"/>
              <w:jc w:val="left"/>
              <w:rPr>
                <w:sz w:val="24"/>
              </w:rPr>
            </w:pPr>
            <w:r w:rsidRPr="00632478">
              <w:rPr>
                <w:spacing w:val="-5"/>
                <w:w w:val="105"/>
                <w:sz w:val="24"/>
              </w:rPr>
              <w:t>78</w:t>
            </w:r>
            <w:r w:rsidR="006915FE">
              <w:rPr>
                <w:spacing w:val="-5"/>
                <w:w w:val="105"/>
                <w:sz w:val="24"/>
              </w:rPr>
              <w:t xml:space="preserve"> per cent</w:t>
            </w:r>
          </w:p>
        </w:tc>
        <w:tc>
          <w:tcPr>
            <w:tcW w:w="1458" w:type="dxa"/>
            <w:vAlign w:val="center"/>
          </w:tcPr>
          <w:p w14:paraId="15449345" w14:textId="1A31A182" w:rsidR="005A5B2B" w:rsidRPr="00632478" w:rsidRDefault="005A5B2B" w:rsidP="006915FE">
            <w:pPr>
              <w:pStyle w:val="TableParagraph"/>
              <w:jc w:val="left"/>
              <w:rPr>
                <w:sz w:val="24"/>
              </w:rPr>
            </w:pPr>
            <w:r w:rsidRPr="00632478">
              <w:rPr>
                <w:spacing w:val="-5"/>
                <w:w w:val="105"/>
                <w:sz w:val="24"/>
              </w:rPr>
              <w:t>93</w:t>
            </w:r>
            <w:r w:rsidR="006915FE">
              <w:rPr>
                <w:spacing w:val="-5"/>
                <w:w w:val="105"/>
                <w:sz w:val="24"/>
              </w:rPr>
              <w:t xml:space="preserve"> per cent</w:t>
            </w:r>
          </w:p>
        </w:tc>
        <w:tc>
          <w:tcPr>
            <w:tcW w:w="1458" w:type="dxa"/>
            <w:vAlign w:val="center"/>
          </w:tcPr>
          <w:p w14:paraId="02D27059" w14:textId="4175B7B2" w:rsidR="005A5B2B" w:rsidRPr="00632478" w:rsidRDefault="005A5B2B" w:rsidP="006915FE">
            <w:pPr>
              <w:pStyle w:val="TableParagraph"/>
              <w:ind w:left="1"/>
              <w:jc w:val="left"/>
              <w:rPr>
                <w:sz w:val="24"/>
              </w:rPr>
            </w:pPr>
            <w:r w:rsidRPr="00632478">
              <w:rPr>
                <w:spacing w:val="-5"/>
                <w:w w:val="105"/>
                <w:sz w:val="24"/>
              </w:rPr>
              <w:t>79</w:t>
            </w:r>
            <w:r w:rsidR="006915FE">
              <w:rPr>
                <w:spacing w:val="-5"/>
                <w:w w:val="105"/>
                <w:sz w:val="24"/>
              </w:rPr>
              <w:t xml:space="preserve"> per cent</w:t>
            </w:r>
          </w:p>
        </w:tc>
      </w:tr>
      <w:tr w:rsidR="005A5B2B" w:rsidRPr="00632478" w14:paraId="6156A47D" w14:textId="77777777" w:rsidTr="006915FE">
        <w:trPr>
          <w:trHeight w:val="614"/>
        </w:trPr>
        <w:tc>
          <w:tcPr>
            <w:tcW w:w="1550" w:type="dxa"/>
            <w:vAlign w:val="center"/>
          </w:tcPr>
          <w:p w14:paraId="7431B3C2" w14:textId="77777777" w:rsidR="005A5B2B" w:rsidRPr="00632478" w:rsidRDefault="005A5B2B" w:rsidP="006915FE">
            <w:pPr>
              <w:pStyle w:val="TableParagraph"/>
              <w:ind w:right="0"/>
              <w:jc w:val="left"/>
              <w:rPr>
                <w:sz w:val="24"/>
                <w:szCs w:val="24"/>
              </w:rPr>
            </w:pPr>
            <w:r w:rsidRPr="4490759F">
              <w:rPr>
                <w:spacing w:val="-4"/>
                <w:sz w:val="24"/>
                <w:szCs w:val="24"/>
              </w:rPr>
              <w:t>Male</w:t>
            </w:r>
          </w:p>
        </w:tc>
        <w:tc>
          <w:tcPr>
            <w:tcW w:w="1458" w:type="dxa"/>
            <w:vAlign w:val="center"/>
          </w:tcPr>
          <w:p w14:paraId="31CA1F13" w14:textId="0197B687" w:rsidR="005A5B2B" w:rsidRPr="00632478" w:rsidRDefault="005A5B2B" w:rsidP="006915FE">
            <w:pPr>
              <w:pStyle w:val="TableParagraph"/>
              <w:jc w:val="left"/>
              <w:rPr>
                <w:sz w:val="24"/>
              </w:rPr>
            </w:pPr>
            <w:r w:rsidRPr="00632478">
              <w:rPr>
                <w:spacing w:val="-5"/>
                <w:w w:val="105"/>
                <w:sz w:val="24"/>
              </w:rPr>
              <w:t>22</w:t>
            </w:r>
            <w:r w:rsidR="006915FE">
              <w:rPr>
                <w:spacing w:val="-5"/>
                <w:w w:val="105"/>
                <w:sz w:val="24"/>
              </w:rPr>
              <w:t xml:space="preserve"> per cent</w:t>
            </w:r>
          </w:p>
        </w:tc>
        <w:tc>
          <w:tcPr>
            <w:tcW w:w="1458" w:type="dxa"/>
            <w:vAlign w:val="center"/>
          </w:tcPr>
          <w:p w14:paraId="3216F0A6" w14:textId="7A204F69" w:rsidR="005A5B2B" w:rsidRPr="00632478" w:rsidRDefault="005A5B2B" w:rsidP="006915FE">
            <w:pPr>
              <w:pStyle w:val="TableParagraph"/>
              <w:ind w:left="1"/>
              <w:jc w:val="left"/>
              <w:rPr>
                <w:sz w:val="24"/>
              </w:rPr>
            </w:pPr>
            <w:r w:rsidRPr="00632478">
              <w:rPr>
                <w:spacing w:val="-5"/>
                <w:w w:val="105"/>
                <w:sz w:val="24"/>
              </w:rPr>
              <w:t>7</w:t>
            </w:r>
            <w:r w:rsidR="006915FE">
              <w:rPr>
                <w:spacing w:val="-5"/>
                <w:w w:val="105"/>
                <w:sz w:val="24"/>
              </w:rPr>
              <w:t xml:space="preserve"> per cent</w:t>
            </w:r>
          </w:p>
        </w:tc>
        <w:tc>
          <w:tcPr>
            <w:tcW w:w="1458" w:type="dxa"/>
            <w:vAlign w:val="center"/>
          </w:tcPr>
          <w:p w14:paraId="351AD47E" w14:textId="7E0BCF34" w:rsidR="005A5B2B" w:rsidRPr="00632478" w:rsidRDefault="005A5B2B" w:rsidP="006915FE">
            <w:pPr>
              <w:pStyle w:val="TableParagraph"/>
              <w:ind w:left="1"/>
              <w:jc w:val="left"/>
              <w:rPr>
                <w:sz w:val="24"/>
              </w:rPr>
            </w:pPr>
            <w:r w:rsidRPr="00632478">
              <w:rPr>
                <w:spacing w:val="-5"/>
                <w:w w:val="105"/>
                <w:sz w:val="24"/>
              </w:rPr>
              <w:t>21</w:t>
            </w:r>
            <w:r w:rsidR="006915FE">
              <w:rPr>
                <w:spacing w:val="-5"/>
                <w:w w:val="105"/>
                <w:sz w:val="24"/>
              </w:rPr>
              <w:t xml:space="preserve"> per cent</w:t>
            </w:r>
          </w:p>
        </w:tc>
      </w:tr>
    </w:tbl>
    <w:p w14:paraId="2BBDE492" w14:textId="3984EF9C" w:rsidR="00390160" w:rsidRDefault="00390160" w:rsidP="00390160">
      <w:pPr>
        <w:pStyle w:val="BodyText"/>
      </w:pPr>
      <w:r>
        <w:t>At April 2023, 63 per cent of NDS roles were permanent, 22 per cent were part time and 15 per</w:t>
      </w:r>
      <w:r w:rsidR="005A5B2B">
        <w:t xml:space="preserve"> </w:t>
      </w:r>
      <w:r>
        <w:t>cent were casual.</w:t>
      </w:r>
    </w:p>
    <w:p w14:paraId="2EF674CE" w14:textId="77777777" w:rsidR="00390160" w:rsidRDefault="00390160" w:rsidP="00390160">
      <w:pPr>
        <w:pStyle w:val="BodyText"/>
      </w:pPr>
      <w:r>
        <w:t>NDS prides itself on our flexible working practices and family-friendly policies that support a diverse workforce. These benefits are especially attractive to women and people with disability.</w:t>
      </w:r>
    </w:p>
    <w:p w14:paraId="540DE695" w14:textId="72FDD732" w:rsidR="00390160" w:rsidRDefault="00390160" w:rsidP="00390160">
      <w:pPr>
        <w:pStyle w:val="BodyText"/>
      </w:pPr>
      <w:r>
        <w:t>In our society, women still carry out more caring duties away from work, and this is reflected in</w:t>
      </w:r>
      <w:r w:rsidR="005A5B2B">
        <w:t xml:space="preserve"> </w:t>
      </w:r>
      <w:r>
        <w:t>the high rates of women in our part-time roles.</w:t>
      </w:r>
    </w:p>
    <w:p w14:paraId="1F57FD92" w14:textId="3FAAA9A3" w:rsidR="00390160" w:rsidRDefault="00390160" w:rsidP="00390160">
      <w:pPr>
        <w:pStyle w:val="BodyText"/>
      </w:pPr>
      <w:r>
        <w:t>In the 2023 Employee Workplace survey, 28 per cent of staff said they had caring responsibilities. 15 per cent were caring for children, 14 per cent were caring for a person with disability, and 7 per cent were caring for elderly adults.</w:t>
      </w:r>
    </w:p>
    <w:p w14:paraId="0DA79F9C" w14:textId="77777777" w:rsidR="00390160" w:rsidRDefault="00390160" w:rsidP="004C6A7D">
      <w:pPr>
        <w:pStyle w:val="Heading1"/>
        <w:keepNext/>
        <w:spacing w:before="240"/>
        <w:ind w:left="720" w:hanging="720"/>
      </w:pPr>
      <w:bookmarkStart w:id="8" w:name="_Toc160626414"/>
      <w:r>
        <w:t>Our actions</w:t>
      </w:r>
      <w:bookmarkEnd w:id="8"/>
    </w:p>
    <w:p w14:paraId="74F05B6F" w14:textId="4CE6959B" w:rsidR="00390160" w:rsidRDefault="00390160" w:rsidP="00390160">
      <w:pPr>
        <w:pStyle w:val="BodyText"/>
      </w:pPr>
      <w:r>
        <w:t xml:space="preserve">In December 2022, NDS launched new </w:t>
      </w:r>
      <w:proofErr w:type="spellStart"/>
      <w:r>
        <w:t>organisational</w:t>
      </w:r>
      <w:proofErr w:type="spellEnd"/>
      <w:r>
        <w:t xml:space="preserve"> values and included Embrace Diversity as one of the fundamental tenants of how we do things around here. To support our efforts to build a diverse and talented team, in 2023 NDS created an Inclusion and Diversity Working</w:t>
      </w:r>
      <w:r w:rsidR="004C6A7D">
        <w:t xml:space="preserve"> </w:t>
      </w:r>
      <w:r>
        <w:t>Group and released a new Inclusion and Diversity Policy. We have identified three key areas to</w:t>
      </w:r>
      <w:r w:rsidR="004C6A7D">
        <w:t xml:space="preserve"> </w:t>
      </w:r>
      <w:r>
        <w:lastRenderedPageBreak/>
        <w:t>focus our efforts on in 2024:</w:t>
      </w:r>
    </w:p>
    <w:p w14:paraId="43F0AC6E" w14:textId="77777777" w:rsidR="00390160" w:rsidRDefault="00390160" w:rsidP="004C6A7D">
      <w:pPr>
        <w:pStyle w:val="Heading2"/>
      </w:pPr>
      <w:bookmarkStart w:id="9" w:name="_Toc160626415"/>
      <w:r>
        <w:t>Recruitment</w:t>
      </w:r>
      <w:bookmarkEnd w:id="9"/>
    </w:p>
    <w:p w14:paraId="2CE85A2D" w14:textId="439F8EBD" w:rsidR="00390160" w:rsidRDefault="00390160" w:rsidP="00EE1B2D">
      <w:pPr>
        <w:pStyle w:val="BodyText"/>
        <w:numPr>
          <w:ilvl w:val="0"/>
          <w:numId w:val="37"/>
        </w:numPr>
      </w:pPr>
      <w:r>
        <w:t>Balance gender and increase diversity on recruitment shortlists, especially for part-time</w:t>
      </w:r>
      <w:r w:rsidR="004C6A7D">
        <w:t xml:space="preserve"> </w:t>
      </w:r>
      <w:r>
        <w:t>and lower-paying positions.</w:t>
      </w:r>
    </w:p>
    <w:p w14:paraId="68D84757" w14:textId="509DAA92" w:rsidR="00390160" w:rsidRDefault="00390160" w:rsidP="00EE1B2D">
      <w:pPr>
        <w:pStyle w:val="BodyText"/>
        <w:numPr>
          <w:ilvl w:val="0"/>
          <w:numId w:val="37"/>
        </w:numPr>
      </w:pPr>
      <w:r>
        <w:t>Review our recruitment practices to improve inclusivity.</w:t>
      </w:r>
    </w:p>
    <w:p w14:paraId="453AFD03" w14:textId="4BA570BD" w:rsidR="00390160" w:rsidRDefault="00390160" w:rsidP="00EE1B2D">
      <w:pPr>
        <w:pStyle w:val="BodyText"/>
        <w:numPr>
          <w:ilvl w:val="0"/>
          <w:numId w:val="37"/>
        </w:numPr>
      </w:pPr>
      <w:r>
        <w:t xml:space="preserve">Develop an EVP that reflects NDS strategy, </w:t>
      </w:r>
      <w:proofErr w:type="gramStart"/>
      <w:r>
        <w:t>values</w:t>
      </w:r>
      <w:proofErr w:type="gramEnd"/>
      <w:r>
        <w:t xml:space="preserve"> and values proposition to attract</w:t>
      </w:r>
      <w:r w:rsidR="004C6A7D">
        <w:t xml:space="preserve"> </w:t>
      </w:r>
      <w:r>
        <w:t>diverse candidates.</w:t>
      </w:r>
    </w:p>
    <w:p w14:paraId="03094345" w14:textId="77777777" w:rsidR="00390160" w:rsidRDefault="00390160" w:rsidP="004C6A7D">
      <w:pPr>
        <w:pStyle w:val="Heading2"/>
      </w:pPr>
      <w:bookmarkStart w:id="10" w:name="_Toc160626416"/>
      <w:r>
        <w:t>Development</w:t>
      </w:r>
      <w:bookmarkEnd w:id="10"/>
    </w:p>
    <w:p w14:paraId="1566661E" w14:textId="2F54D39E" w:rsidR="00390160" w:rsidRDefault="00390160" w:rsidP="00EE1B2D">
      <w:pPr>
        <w:pStyle w:val="BodyText"/>
        <w:numPr>
          <w:ilvl w:val="0"/>
          <w:numId w:val="37"/>
        </w:numPr>
      </w:pPr>
      <w:r>
        <w:t>Set up a remuneration framework that is transparent and supports career paths and internal mobility.</w:t>
      </w:r>
    </w:p>
    <w:p w14:paraId="14683B49" w14:textId="6447124A" w:rsidR="00390160" w:rsidRDefault="00390160" w:rsidP="00EE1B2D">
      <w:pPr>
        <w:pStyle w:val="BodyText"/>
        <w:numPr>
          <w:ilvl w:val="0"/>
          <w:numId w:val="37"/>
        </w:numPr>
      </w:pPr>
      <w:r>
        <w:t xml:space="preserve">Develop an emerging </w:t>
      </w:r>
      <w:proofErr w:type="gramStart"/>
      <w:r>
        <w:t>leaders</w:t>
      </w:r>
      <w:proofErr w:type="gramEnd"/>
      <w:r>
        <w:t xml:space="preserve"> program that includes inclusive leadership modules and has strong participation of women.</w:t>
      </w:r>
    </w:p>
    <w:p w14:paraId="7DB71457" w14:textId="77777777" w:rsidR="00390160" w:rsidRDefault="00390160" w:rsidP="004C6A7D">
      <w:pPr>
        <w:pStyle w:val="Heading2"/>
      </w:pPr>
      <w:bookmarkStart w:id="11" w:name="_Toc160626417"/>
      <w:r>
        <w:t>Building a diverse culture</w:t>
      </w:r>
      <w:bookmarkEnd w:id="11"/>
    </w:p>
    <w:p w14:paraId="73944FFA" w14:textId="4BCAAA36" w:rsidR="00390160" w:rsidRDefault="00390160" w:rsidP="00EE1B2D">
      <w:pPr>
        <w:pStyle w:val="BodyText"/>
        <w:numPr>
          <w:ilvl w:val="0"/>
          <w:numId w:val="37"/>
        </w:numPr>
      </w:pPr>
      <w:r>
        <w:t xml:space="preserve">Update policies to ensure they support inclusion, </w:t>
      </w:r>
      <w:proofErr w:type="gramStart"/>
      <w:r>
        <w:t>diversity</w:t>
      </w:r>
      <w:proofErr w:type="gramEnd"/>
      <w:r>
        <w:t xml:space="preserve"> and equality.</w:t>
      </w:r>
    </w:p>
    <w:p w14:paraId="1BCD2C20" w14:textId="38F0C8A9" w:rsidR="00390160" w:rsidRDefault="00390160" w:rsidP="00EE1B2D">
      <w:pPr>
        <w:pStyle w:val="BodyText"/>
        <w:numPr>
          <w:ilvl w:val="0"/>
          <w:numId w:val="37"/>
        </w:numPr>
      </w:pPr>
      <w:r>
        <w:t>Track diversity metrics.</w:t>
      </w:r>
    </w:p>
    <w:p w14:paraId="2922764F" w14:textId="084EDC95" w:rsidR="00390160" w:rsidRDefault="00390160" w:rsidP="00EE1B2D">
      <w:pPr>
        <w:pStyle w:val="BodyText"/>
        <w:numPr>
          <w:ilvl w:val="0"/>
          <w:numId w:val="37"/>
        </w:numPr>
      </w:pPr>
      <w:r>
        <w:t xml:space="preserve">Continue our work with the inclusion and diversity working group and </w:t>
      </w:r>
      <w:r w:rsidR="004C6A7D">
        <w:t>s</w:t>
      </w:r>
      <w:r>
        <w:t>et up DAP and RAP committees.</w:t>
      </w:r>
    </w:p>
    <w:p w14:paraId="4B59F68A" w14:textId="5470E3CB" w:rsidR="4272EB64" w:rsidRDefault="00390160" w:rsidP="00EE1B2D">
      <w:pPr>
        <w:pStyle w:val="BodyText"/>
        <w:numPr>
          <w:ilvl w:val="0"/>
          <w:numId w:val="37"/>
        </w:numPr>
      </w:pPr>
      <w:r>
        <w:t>Encourage men to take advantage of flexible working.</w:t>
      </w:r>
    </w:p>
    <w:sectPr w:rsidR="4272EB64" w:rsidSect="00D732CD">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A4B0" w14:textId="77777777" w:rsidR="00D732CD" w:rsidRDefault="00D732CD" w:rsidP="00D368C0">
      <w:pPr>
        <w:spacing w:before="0"/>
      </w:pPr>
      <w:r>
        <w:separator/>
      </w:r>
    </w:p>
  </w:endnote>
  <w:endnote w:type="continuationSeparator" w:id="0">
    <w:p w14:paraId="037AA4BA" w14:textId="77777777" w:rsidR="00D732CD" w:rsidRDefault="00D732CD" w:rsidP="00D368C0">
      <w:pPr>
        <w:spacing w:before="0"/>
      </w:pPr>
      <w:r>
        <w:continuationSeparator/>
      </w:r>
    </w:p>
  </w:endnote>
  <w:endnote w:type="continuationNotice" w:id="1">
    <w:p w14:paraId="237AEC53" w14:textId="77777777" w:rsidR="00D732CD" w:rsidRDefault="00D732C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8BAF" w14:textId="77777777" w:rsidR="33FAC2E0" w:rsidRDefault="33FAC2E0" w:rsidP="33FAC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831C" w14:textId="77777777" w:rsidR="00D732CD" w:rsidRDefault="00D732CD" w:rsidP="00D368C0">
      <w:pPr>
        <w:spacing w:before="0"/>
      </w:pPr>
      <w:r>
        <w:separator/>
      </w:r>
    </w:p>
  </w:footnote>
  <w:footnote w:type="continuationSeparator" w:id="0">
    <w:p w14:paraId="2069D1C0" w14:textId="77777777" w:rsidR="00D732CD" w:rsidRDefault="00D732CD" w:rsidP="00D368C0">
      <w:pPr>
        <w:spacing w:before="0"/>
      </w:pPr>
      <w:r>
        <w:continuationSeparator/>
      </w:r>
    </w:p>
  </w:footnote>
  <w:footnote w:type="continuationNotice" w:id="1">
    <w:p w14:paraId="23EE8031" w14:textId="77777777" w:rsidR="00D732CD" w:rsidRDefault="00D732C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9444" w14:textId="77777777" w:rsidR="33FAC2E0" w:rsidRDefault="33FAC2E0" w:rsidP="33FAC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85CA0"/>
    <w:multiLevelType w:val="hybridMultilevel"/>
    <w:tmpl w:val="726ABB66"/>
    <w:lvl w:ilvl="0" w:tplc="03FA00A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C89191"/>
    <w:multiLevelType w:val="hybridMultilevel"/>
    <w:tmpl w:val="DDCA2DD2"/>
    <w:lvl w:ilvl="0" w:tplc="3E5EE7D8">
      <w:start w:val="1"/>
      <w:numFmt w:val="decimal"/>
      <w:lvlText w:val="%1."/>
      <w:lvlJc w:val="left"/>
      <w:pPr>
        <w:ind w:left="720" w:hanging="360"/>
      </w:pPr>
    </w:lvl>
    <w:lvl w:ilvl="1" w:tplc="E3247980">
      <w:start w:val="1"/>
      <w:numFmt w:val="lowerLetter"/>
      <w:lvlText w:val="%2."/>
      <w:lvlJc w:val="left"/>
      <w:pPr>
        <w:ind w:left="1440" w:hanging="360"/>
      </w:pPr>
    </w:lvl>
    <w:lvl w:ilvl="2" w:tplc="B7D87F30">
      <w:start w:val="1"/>
      <w:numFmt w:val="lowerRoman"/>
      <w:lvlText w:val="%3."/>
      <w:lvlJc w:val="right"/>
      <w:pPr>
        <w:ind w:left="2160" w:hanging="180"/>
      </w:pPr>
    </w:lvl>
    <w:lvl w:ilvl="3" w:tplc="E452D43C">
      <w:start w:val="1"/>
      <w:numFmt w:val="decimal"/>
      <w:lvlText w:val="%4."/>
      <w:lvlJc w:val="left"/>
      <w:pPr>
        <w:ind w:left="2880" w:hanging="360"/>
      </w:pPr>
    </w:lvl>
    <w:lvl w:ilvl="4" w:tplc="8B525BC4">
      <w:start w:val="1"/>
      <w:numFmt w:val="lowerLetter"/>
      <w:lvlText w:val="%5."/>
      <w:lvlJc w:val="left"/>
      <w:pPr>
        <w:ind w:left="3600" w:hanging="360"/>
      </w:pPr>
    </w:lvl>
    <w:lvl w:ilvl="5" w:tplc="0B88AC3E">
      <w:start w:val="1"/>
      <w:numFmt w:val="lowerRoman"/>
      <w:lvlText w:val="%6."/>
      <w:lvlJc w:val="right"/>
      <w:pPr>
        <w:ind w:left="4320" w:hanging="180"/>
      </w:pPr>
    </w:lvl>
    <w:lvl w:ilvl="6" w:tplc="602E49C6">
      <w:start w:val="1"/>
      <w:numFmt w:val="decimal"/>
      <w:lvlText w:val="%7."/>
      <w:lvlJc w:val="left"/>
      <w:pPr>
        <w:ind w:left="5040" w:hanging="360"/>
      </w:pPr>
    </w:lvl>
    <w:lvl w:ilvl="7" w:tplc="B212FF32">
      <w:start w:val="1"/>
      <w:numFmt w:val="lowerLetter"/>
      <w:lvlText w:val="%8."/>
      <w:lvlJc w:val="left"/>
      <w:pPr>
        <w:ind w:left="5760" w:hanging="360"/>
      </w:pPr>
    </w:lvl>
    <w:lvl w:ilvl="8" w:tplc="B6103886">
      <w:start w:val="1"/>
      <w:numFmt w:val="lowerRoman"/>
      <w:lvlText w:val="%9."/>
      <w:lvlJc w:val="right"/>
      <w:pPr>
        <w:ind w:left="6480" w:hanging="180"/>
      </w:p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ED6340"/>
    <w:multiLevelType w:val="hybridMultilevel"/>
    <w:tmpl w:val="94702AEA"/>
    <w:lvl w:ilvl="0" w:tplc="03FA00A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B123DB"/>
    <w:multiLevelType w:val="hybridMultilevel"/>
    <w:tmpl w:val="5D10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DDD03E"/>
    <w:multiLevelType w:val="hybridMultilevel"/>
    <w:tmpl w:val="2F7050BA"/>
    <w:lvl w:ilvl="0" w:tplc="826ABEA4">
      <w:start w:val="1"/>
      <w:numFmt w:val="decimal"/>
      <w:lvlText w:val="%1."/>
      <w:lvlJc w:val="left"/>
      <w:pPr>
        <w:ind w:left="720" w:hanging="360"/>
      </w:pPr>
    </w:lvl>
    <w:lvl w:ilvl="1" w:tplc="1DB65554">
      <w:start w:val="1"/>
      <w:numFmt w:val="lowerLetter"/>
      <w:lvlText w:val="%2."/>
      <w:lvlJc w:val="left"/>
      <w:pPr>
        <w:ind w:left="1440" w:hanging="360"/>
      </w:pPr>
    </w:lvl>
    <w:lvl w:ilvl="2" w:tplc="CFB62184">
      <w:start w:val="1"/>
      <w:numFmt w:val="lowerRoman"/>
      <w:lvlText w:val="%3."/>
      <w:lvlJc w:val="right"/>
      <w:pPr>
        <w:ind w:left="2160" w:hanging="180"/>
      </w:pPr>
    </w:lvl>
    <w:lvl w:ilvl="3" w:tplc="1B84E5B0">
      <w:start w:val="1"/>
      <w:numFmt w:val="decimal"/>
      <w:lvlText w:val="%4."/>
      <w:lvlJc w:val="left"/>
      <w:pPr>
        <w:ind w:left="2880" w:hanging="360"/>
      </w:pPr>
    </w:lvl>
    <w:lvl w:ilvl="4" w:tplc="0DDC0A0A">
      <w:start w:val="1"/>
      <w:numFmt w:val="lowerLetter"/>
      <w:lvlText w:val="%5."/>
      <w:lvlJc w:val="left"/>
      <w:pPr>
        <w:ind w:left="3600" w:hanging="360"/>
      </w:pPr>
    </w:lvl>
    <w:lvl w:ilvl="5" w:tplc="9558EC02">
      <w:start w:val="1"/>
      <w:numFmt w:val="lowerRoman"/>
      <w:lvlText w:val="%6."/>
      <w:lvlJc w:val="right"/>
      <w:pPr>
        <w:ind w:left="4320" w:hanging="180"/>
      </w:pPr>
    </w:lvl>
    <w:lvl w:ilvl="6" w:tplc="C6764260">
      <w:start w:val="1"/>
      <w:numFmt w:val="decimal"/>
      <w:lvlText w:val="%7."/>
      <w:lvlJc w:val="left"/>
      <w:pPr>
        <w:ind w:left="5040" w:hanging="360"/>
      </w:pPr>
    </w:lvl>
    <w:lvl w:ilvl="7" w:tplc="B790BFE4">
      <w:start w:val="1"/>
      <w:numFmt w:val="lowerLetter"/>
      <w:lvlText w:val="%8."/>
      <w:lvlJc w:val="left"/>
      <w:pPr>
        <w:ind w:left="5760" w:hanging="360"/>
      </w:pPr>
    </w:lvl>
    <w:lvl w:ilvl="8" w:tplc="1BE452E0">
      <w:start w:val="1"/>
      <w:numFmt w:val="lowerRoman"/>
      <w:lvlText w:val="%9."/>
      <w:lvlJc w:val="right"/>
      <w:pPr>
        <w:ind w:left="6480" w:hanging="180"/>
      </w:pPr>
    </w:lvl>
  </w:abstractNum>
  <w:abstractNum w:abstractNumId="32"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2E3DB4"/>
    <w:multiLevelType w:val="hybridMultilevel"/>
    <w:tmpl w:val="A9107A0A"/>
    <w:lvl w:ilvl="0" w:tplc="03FA00A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16cid:durableId="665746735">
    <w:abstractNumId w:val="31"/>
  </w:num>
  <w:num w:numId="2" w16cid:durableId="630013357">
    <w:abstractNumId w:val="13"/>
  </w:num>
  <w:num w:numId="3" w16cid:durableId="1410735653">
    <w:abstractNumId w:val="9"/>
  </w:num>
  <w:num w:numId="4" w16cid:durableId="1168638424">
    <w:abstractNumId w:val="9"/>
  </w:num>
  <w:num w:numId="5" w16cid:durableId="555168550">
    <w:abstractNumId w:val="9"/>
  </w:num>
  <w:num w:numId="6" w16cid:durableId="303197407">
    <w:abstractNumId w:val="22"/>
  </w:num>
  <w:num w:numId="7" w16cid:durableId="1059087006">
    <w:abstractNumId w:val="29"/>
  </w:num>
  <w:num w:numId="8" w16cid:durableId="1678270184">
    <w:abstractNumId w:val="14"/>
  </w:num>
  <w:num w:numId="9" w16cid:durableId="1877162531">
    <w:abstractNumId w:val="6"/>
  </w:num>
  <w:num w:numId="10" w16cid:durableId="896353118">
    <w:abstractNumId w:val="17"/>
  </w:num>
  <w:num w:numId="11" w16cid:durableId="1166626423">
    <w:abstractNumId w:val="15"/>
  </w:num>
  <w:num w:numId="12" w16cid:durableId="1504396733">
    <w:abstractNumId w:val="19"/>
  </w:num>
  <w:num w:numId="13" w16cid:durableId="214202765">
    <w:abstractNumId w:val="11"/>
  </w:num>
  <w:num w:numId="14" w16cid:durableId="771625623">
    <w:abstractNumId w:val="32"/>
  </w:num>
  <w:num w:numId="15" w16cid:durableId="829448575">
    <w:abstractNumId w:val="27"/>
  </w:num>
  <w:num w:numId="16" w16cid:durableId="2006742163">
    <w:abstractNumId w:val="3"/>
  </w:num>
  <w:num w:numId="17" w16cid:durableId="1178234817">
    <w:abstractNumId w:val="18"/>
  </w:num>
  <w:num w:numId="18" w16cid:durableId="1608998941">
    <w:abstractNumId w:val="25"/>
  </w:num>
  <w:num w:numId="19" w16cid:durableId="341125744">
    <w:abstractNumId w:val="35"/>
  </w:num>
  <w:num w:numId="20" w16cid:durableId="55323716">
    <w:abstractNumId w:val="2"/>
  </w:num>
  <w:num w:numId="21" w16cid:durableId="508373514">
    <w:abstractNumId w:val="5"/>
  </w:num>
  <w:num w:numId="22" w16cid:durableId="1404376122">
    <w:abstractNumId w:val="36"/>
  </w:num>
  <w:num w:numId="23" w16cid:durableId="1657761388">
    <w:abstractNumId w:val="21"/>
  </w:num>
  <w:num w:numId="24" w16cid:durableId="290672226">
    <w:abstractNumId w:val="30"/>
  </w:num>
  <w:num w:numId="25" w16cid:durableId="597760029">
    <w:abstractNumId w:val="16"/>
  </w:num>
  <w:num w:numId="26" w16cid:durableId="292953390">
    <w:abstractNumId w:val="24"/>
  </w:num>
  <w:num w:numId="27" w16cid:durableId="2077896127">
    <w:abstractNumId w:val="12"/>
  </w:num>
  <w:num w:numId="28" w16cid:durableId="287863101">
    <w:abstractNumId w:val="7"/>
  </w:num>
  <w:num w:numId="29" w16cid:durableId="298146705">
    <w:abstractNumId w:val="34"/>
  </w:num>
  <w:num w:numId="30" w16cid:durableId="1197038599">
    <w:abstractNumId w:val="20"/>
  </w:num>
  <w:num w:numId="31" w16cid:durableId="1079667894">
    <w:abstractNumId w:val="10"/>
  </w:num>
  <w:num w:numId="32" w16cid:durableId="1019625425">
    <w:abstractNumId w:val="4"/>
  </w:num>
  <w:num w:numId="33" w16cid:durableId="661785106">
    <w:abstractNumId w:val="23"/>
  </w:num>
  <w:num w:numId="34" w16cid:durableId="902640024">
    <w:abstractNumId w:val="1"/>
  </w:num>
  <w:num w:numId="35" w16cid:durableId="2111847953">
    <w:abstractNumId w:val="0"/>
  </w:num>
  <w:num w:numId="36" w16cid:durableId="726338645">
    <w:abstractNumId w:val="28"/>
  </w:num>
  <w:num w:numId="37" w16cid:durableId="1863352054">
    <w:abstractNumId w:val="26"/>
  </w:num>
  <w:num w:numId="38" w16cid:durableId="1527214607">
    <w:abstractNumId w:val="33"/>
  </w:num>
  <w:num w:numId="39" w16cid:durableId="1624189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60"/>
    <w:rsid w:val="0002130A"/>
    <w:rsid w:val="00055A88"/>
    <w:rsid w:val="00060EEF"/>
    <w:rsid w:val="000813FD"/>
    <w:rsid w:val="000934CB"/>
    <w:rsid w:val="000B4382"/>
    <w:rsid w:val="000D0262"/>
    <w:rsid w:val="000D7F5D"/>
    <w:rsid w:val="000E1C9D"/>
    <w:rsid w:val="000F07E6"/>
    <w:rsid w:val="001131C4"/>
    <w:rsid w:val="00147B17"/>
    <w:rsid w:val="00167F39"/>
    <w:rsid w:val="00194476"/>
    <w:rsid w:val="001A1B98"/>
    <w:rsid w:val="001A33BC"/>
    <w:rsid w:val="001B24D1"/>
    <w:rsid w:val="001B2798"/>
    <w:rsid w:val="002334D0"/>
    <w:rsid w:val="00235936"/>
    <w:rsid w:val="002440A9"/>
    <w:rsid w:val="002471A6"/>
    <w:rsid w:val="00252723"/>
    <w:rsid w:val="002606A3"/>
    <w:rsid w:val="002A2A44"/>
    <w:rsid w:val="002B1A0D"/>
    <w:rsid w:val="002B4035"/>
    <w:rsid w:val="002D51BF"/>
    <w:rsid w:val="002D51FA"/>
    <w:rsid w:val="002F24E1"/>
    <w:rsid w:val="00322C3F"/>
    <w:rsid w:val="00331329"/>
    <w:rsid w:val="003455BF"/>
    <w:rsid w:val="00362CB2"/>
    <w:rsid w:val="00374762"/>
    <w:rsid w:val="00390160"/>
    <w:rsid w:val="00391C2B"/>
    <w:rsid w:val="00394A98"/>
    <w:rsid w:val="003A1BFD"/>
    <w:rsid w:val="003B4E48"/>
    <w:rsid w:val="003B7153"/>
    <w:rsid w:val="003C3CD0"/>
    <w:rsid w:val="003E2780"/>
    <w:rsid w:val="003E63DE"/>
    <w:rsid w:val="003F145A"/>
    <w:rsid w:val="00416CCB"/>
    <w:rsid w:val="0043609D"/>
    <w:rsid w:val="004517ED"/>
    <w:rsid w:val="004804E4"/>
    <w:rsid w:val="004934CB"/>
    <w:rsid w:val="0049729E"/>
    <w:rsid w:val="004C6A7D"/>
    <w:rsid w:val="004F0B58"/>
    <w:rsid w:val="00503340"/>
    <w:rsid w:val="0051791C"/>
    <w:rsid w:val="005201FC"/>
    <w:rsid w:val="00524766"/>
    <w:rsid w:val="00533EA7"/>
    <w:rsid w:val="00557BEA"/>
    <w:rsid w:val="00564479"/>
    <w:rsid w:val="00573AA8"/>
    <w:rsid w:val="005A23F1"/>
    <w:rsid w:val="005A5B2B"/>
    <w:rsid w:val="005B2ED4"/>
    <w:rsid w:val="005D1E53"/>
    <w:rsid w:val="005E52D7"/>
    <w:rsid w:val="005F357B"/>
    <w:rsid w:val="00630838"/>
    <w:rsid w:val="0063384E"/>
    <w:rsid w:val="00637FF7"/>
    <w:rsid w:val="00640D79"/>
    <w:rsid w:val="00646253"/>
    <w:rsid w:val="00680429"/>
    <w:rsid w:val="006915FE"/>
    <w:rsid w:val="006A58B1"/>
    <w:rsid w:val="006B63BB"/>
    <w:rsid w:val="006D1771"/>
    <w:rsid w:val="00702C8C"/>
    <w:rsid w:val="007041A0"/>
    <w:rsid w:val="007345DD"/>
    <w:rsid w:val="00740036"/>
    <w:rsid w:val="007B29E6"/>
    <w:rsid w:val="007E33A0"/>
    <w:rsid w:val="007E4A9A"/>
    <w:rsid w:val="008060D3"/>
    <w:rsid w:val="00811046"/>
    <w:rsid w:val="00825878"/>
    <w:rsid w:val="008417C4"/>
    <w:rsid w:val="00857C1D"/>
    <w:rsid w:val="008921B5"/>
    <w:rsid w:val="008E024C"/>
    <w:rsid w:val="008F2F89"/>
    <w:rsid w:val="00925B55"/>
    <w:rsid w:val="00930DB7"/>
    <w:rsid w:val="00953722"/>
    <w:rsid w:val="00960CAD"/>
    <w:rsid w:val="009926B9"/>
    <w:rsid w:val="0099744F"/>
    <w:rsid w:val="009D2518"/>
    <w:rsid w:val="009E35E2"/>
    <w:rsid w:val="009F0196"/>
    <w:rsid w:val="009F7850"/>
    <w:rsid w:val="00A0219F"/>
    <w:rsid w:val="00A05909"/>
    <w:rsid w:val="00A11531"/>
    <w:rsid w:val="00A34E63"/>
    <w:rsid w:val="00A418B0"/>
    <w:rsid w:val="00A5486E"/>
    <w:rsid w:val="00A65CE2"/>
    <w:rsid w:val="00A96F49"/>
    <w:rsid w:val="00AA0822"/>
    <w:rsid w:val="00AA2572"/>
    <w:rsid w:val="00AA4CAA"/>
    <w:rsid w:val="00AA7095"/>
    <w:rsid w:val="00AA7A13"/>
    <w:rsid w:val="00AC553C"/>
    <w:rsid w:val="00AD3011"/>
    <w:rsid w:val="00AE71B7"/>
    <w:rsid w:val="00AF1EE1"/>
    <w:rsid w:val="00B54E71"/>
    <w:rsid w:val="00B716CF"/>
    <w:rsid w:val="00B83103"/>
    <w:rsid w:val="00B86C6A"/>
    <w:rsid w:val="00BA11D7"/>
    <w:rsid w:val="00BA44A6"/>
    <w:rsid w:val="00BB4242"/>
    <w:rsid w:val="00BC0231"/>
    <w:rsid w:val="00BD1B29"/>
    <w:rsid w:val="00BD6BC9"/>
    <w:rsid w:val="00BE47FA"/>
    <w:rsid w:val="00BF6DEC"/>
    <w:rsid w:val="00C25D37"/>
    <w:rsid w:val="00C37D10"/>
    <w:rsid w:val="00C40674"/>
    <w:rsid w:val="00C62305"/>
    <w:rsid w:val="00C817D3"/>
    <w:rsid w:val="00C83884"/>
    <w:rsid w:val="00CA468E"/>
    <w:rsid w:val="00CC123E"/>
    <w:rsid w:val="00CD18A4"/>
    <w:rsid w:val="00D011B8"/>
    <w:rsid w:val="00D073FA"/>
    <w:rsid w:val="00D368C0"/>
    <w:rsid w:val="00D55575"/>
    <w:rsid w:val="00D732CD"/>
    <w:rsid w:val="00D96205"/>
    <w:rsid w:val="00D9726E"/>
    <w:rsid w:val="00DB5D27"/>
    <w:rsid w:val="00DF0059"/>
    <w:rsid w:val="00DF674B"/>
    <w:rsid w:val="00E22FD1"/>
    <w:rsid w:val="00E35AF5"/>
    <w:rsid w:val="00E36A54"/>
    <w:rsid w:val="00EB28FB"/>
    <w:rsid w:val="00EC1CDA"/>
    <w:rsid w:val="00EE1B2D"/>
    <w:rsid w:val="00F06CE5"/>
    <w:rsid w:val="00F21467"/>
    <w:rsid w:val="00F27A53"/>
    <w:rsid w:val="00F51019"/>
    <w:rsid w:val="00F540A7"/>
    <w:rsid w:val="00F635C4"/>
    <w:rsid w:val="00F9090B"/>
    <w:rsid w:val="00F92AE1"/>
    <w:rsid w:val="00FA3FAD"/>
    <w:rsid w:val="00FB2EF0"/>
    <w:rsid w:val="00FC5F59"/>
    <w:rsid w:val="00FE2203"/>
    <w:rsid w:val="05408B7E"/>
    <w:rsid w:val="066DD4CA"/>
    <w:rsid w:val="06EA7E18"/>
    <w:rsid w:val="08967871"/>
    <w:rsid w:val="0E7D7C24"/>
    <w:rsid w:val="0FFB2059"/>
    <w:rsid w:val="100FF847"/>
    <w:rsid w:val="1016DD52"/>
    <w:rsid w:val="10994DE4"/>
    <w:rsid w:val="13D0EEA6"/>
    <w:rsid w:val="188B376C"/>
    <w:rsid w:val="1891BB3E"/>
    <w:rsid w:val="19770CD9"/>
    <w:rsid w:val="1A40302A"/>
    <w:rsid w:val="1DD1CC76"/>
    <w:rsid w:val="2160A332"/>
    <w:rsid w:val="22DE8EA0"/>
    <w:rsid w:val="243625C6"/>
    <w:rsid w:val="2934E4B4"/>
    <w:rsid w:val="2C3125FC"/>
    <w:rsid w:val="3104971F"/>
    <w:rsid w:val="31EB9ED6"/>
    <w:rsid w:val="3211826F"/>
    <w:rsid w:val="328C057B"/>
    <w:rsid w:val="32A06780"/>
    <w:rsid w:val="33FAC2E0"/>
    <w:rsid w:val="36DBDCE4"/>
    <w:rsid w:val="375C71E1"/>
    <w:rsid w:val="3779C45F"/>
    <w:rsid w:val="3C4F374C"/>
    <w:rsid w:val="3CFF4FCC"/>
    <w:rsid w:val="3D44ED1D"/>
    <w:rsid w:val="412A6DBC"/>
    <w:rsid w:val="4272EB64"/>
    <w:rsid w:val="42BE78D0"/>
    <w:rsid w:val="442CBECF"/>
    <w:rsid w:val="4490759F"/>
    <w:rsid w:val="45ED02E4"/>
    <w:rsid w:val="4633ACB4"/>
    <w:rsid w:val="48D501B1"/>
    <w:rsid w:val="49002FF2"/>
    <w:rsid w:val="4F6F7176"/>
    <w:rsid w:val="5391B914"/>
    <w:rsid w:val="5442E299"/>
    <w:rsid w:val="549E4A4C"/>
    <w:rsid w:val="573B5C24"/>
    <w:rsid w:val="59019C74"/>
    <w:rsid w:val="5DA3FAF8"/>
    <w:rsid w:val="5EF4590A"/>
    <w:rsid w:val="601341C4"/>
    <w:rsid w:val="61AF1225"/>
    <w:rsid w:val="61D0FBBC"/>
    <w:rsid w:val="680D342B"/>
    <w:rsid w:val="6E56E985"/>
    <w:rsid w:val="6EE270C5"/>
    <w:rsid w:val="6F3F96D6"/>
    <w:rsid w:val="6FE2A837"/>
    <w:rsid w:val="705E616C"/>
    <w:rsid w:val="70B616A2"/>
    <w:rsid w:val="71264E94"/>
    <w:rsid w:val="71BC67BA"/>
    <w:rsid w:val="769751BD"/>
    <w:rsid w:val="779063D1"/>
    <w:rsid w:val="77D2D3CA"/>
    <w:rsid w:val="7889530B"/>
    <w:rsid w:val="79A126A2"/>
    <w:rsid w:val="7B44E104"/>
    <w:rsid w:val="7E0FD947"/>
    <w:rsid w:val="7F00DB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FE2E9"/>
  <w15:docId w15:val="{E67F94F3-B2D5-4F9C-B464-DCDF10B0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58"/>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147B17"/>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F0196"/>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F0196"/>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B17"/>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9F0196"/>
    <w:rPr>
      <w:rFonts w:eastAsiaTheme="majorEastAsia" w:cstheme="majorBidi"/>
      <w:b/>
      <w:sz w:val="32"/>
      <w:szCs w:val="26"/>
    </w:rPr>
  </w:style>
  <w:style w:type="character" w:customStyle="1" w:styleId="Heading3Char">
    <w:name w:val="Heading 3 Char"/>
    <w:basedOn w:val="DefaultParagraphFont"/>
    <w:link w:val="Heading3"/>
    <w:uiPriority w:val="9"/>
    <w:rsid w:val="009F0196"/>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8"/>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rsid w:val="00390160"/>
    <w:pPr>
      <w:tabs>
        <w:tab w:val="left" w:pos="440"/>
        <w:tab w:val="right" w:leader="dot" w:pos="9016"/>
      </w:tabs>
      <w:spacing w:before="0" w:after="150" w:line="240" w:lineRule="auto"/>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Heading">
    <w:name w:val="TOC Heading"/>
    <w:basedOn w:val="Heading1"/>
    <w:next w:val="Normal"/>
    <w:uiPriority w:val="39"/>
    <w:unhideWhenUsed/>
    <w:qFormat/>
    <w:rsid w:val="00390160"/>
    <w:pPr>
      <w:keepNext/>
      <w:keepLines/>
      <w:spacing w:before="240" w:after="0" w:line="259" w:lineRule="auto"/>
      <w:outlineLvl w:val="9"/>
    </w:pPr>
    <w:rPr>
      <w:rFonts w:asciiTheme="majorHAnsi" w:hAnsiTheme="majorHAnsi"/>
      <w:b w:val="0"/>
      <w:color w:val="2E74B5" w:themeColor="accent1" w:themeShade="BF"/>
      <w:sz w:val="32"/>
      <w:lang w:val="en-US"/>
    </w:rPr>
  </w:style>
  <w:style w:type="paragraph" w:customStyle="1" w:styleId="TableParagraph">
    <w:name w:val="Table Paragraph"/>
    <w:basedOn w:val="Normal"/>
    <w:uiPriority w:val="1"/>
    <w:qFormat/>
    <w:rsid w:val="005A5B2B"/>
    <w:pPr>
      <w:widowControl w:val="0"/>
      <w:autoSpaceDE w:val="0"/>
      <w:autoSpaceDN w:val="0"/>
      <w:spacing w:before="168" w:line="240" w:lineRule="auto"/>
      <w:ind w:right="1"/>
      <w:jc w:val="center"/>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ndsorg.sharepoint.com/sites/Office_Templates/Shared%20Documents/NDSOfficeTemplates/NDS%20Document%20Template%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BFDCC06FE1843927B8286CBFDCC0E" ma:contentTypeVersion="18" ma:contentTypeDescription="Create a new document." ma:contentTypeScope="" ma:versionID="6c1c4173cc10bb8f01d7b50753e6be25">
  <xsd:schema xmlns:xsd="http://www.w3.org/2001/XMLSchema" xmlns:xs="http://www.w3.org/2001/XMLSchema" xmlns:p="http://schemas.microsoft.com/office/2006/metadata/properties" xmlns:ns2="287c00e0-3cf7-4e41-92c7-3a0b2fce8e61" xmlns:ns3="ec82a6e4-bfd0-4b9a-8084-9eece16f1943" xmlns:ns4="236ae2b0-0100-4b4a-ba24-8b438242b36b" targetNamespace="http://schemas.microsoft.com/office/2006/metadata/properties" ma:root="true" ma:fieldsID="678cca62503b7659bff7e7c933543041" ns2:_="" ns3:_="" ns4:_="">
    <xsd:import namespace="287c00e0-3cf7-4e41-92c7-3a0b2fce8e61"/>
    <xsd:import namespace="ec82a6e4-bfd0-4b9a-8084-9eece16f1943"/>
    <xsd:import namespace="236ae2b0-0100-4b4a-ba24-8b438242b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c00e0-3cf7-4e41-92c7-3a0b2fce8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2a6e4-bfd0-4b9a-8084-9eece16f19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ae2b0-0100-4b4a-ba24-8b438242b36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95c14ab-7000-4363-baf6-2088d6aeab3f}" ma:internalName="TaxCatchAll" ma:showField="CatchAllData" ma:web="236ae2b0-0100-4b4a-ba24-8b438242b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7c00e0-3cf7-4e41-92c7-3a0b2fce8e61">
      <Terms xmlns="http://schemas.microsoft.com/office/infopath/2007/PartnerControls"/>
    </lcf76f155ced4ddcb4097134ff3c332f>
    <TaxCatchAll xmlns="236ae2b0-0100-4b4a-ba24-8b438242b3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C1BA-61FF-4FD0-9C88-770E4440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c00e0-3cf7-4e41-92c7-3a0b2fce8e61"/>
    <ds:schemaRef ds:uri="ec82a6e4-bfd0-4b9a-8084-9eece16f1943"/>
    <ds:schemaRef ds:uri="236ae2b0-0100-4b4a-ba24-8b438242b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C1EF-0FC4-426D-AC0A-C793B50ACE0A}">
  <ds:schemaRefs>
    <ds:schemaRef ds:uri="http://schemas.microsoft.com/sharepoint/v3/contenttype/forms"/>
  </ds:schemaRefs>
</ds:datastoreItem>
</file>

<file path=customXml/itemProps3.xml><?xml version="1.0" encoding="utf-8"?>
<ds:datastoreItem xmlns:ds="http://schemas.openxmlformats.org/officeDocument/2006/customXml" ds:itemID="{18E9DDF0-15D2-498C-9BD9-31B01B49724B}">
  <ds:schemaRefs>
    <ds:schemaRef ds:uri="http://schemas.microsoft.com/office/2006/metadata/properties"/>
    <ds:schemaRef ds:uri="http://schemas.microsoft.com/office/infopath/2007/PartnerControls"/>
    <ds:schemaRef ds:uri="287c00e0-3cf7-4e41-92c7-3a0b2fce8e61"/>
    <ds:schemaRef ds:uri="236ae2b0-0100-4b4a-ba24-8b438242b36b"/>
  </ds:schemaRefs>
</ds:datastoreItem>
</file>

<file path=customXml/itemProps4.xml><?xml version="1.0" encoding="utf-8"?>
<ds:datastoreItem xmlns:ds="http://schemas.openxmlformats.org/officeDocument/2006/customXml" ds:itemID="{5238D363-89D6-4A55-A872-484DC5EB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NDS%20Document%20Template%20Accessible.dotx</Template>
  <TotalTime>150</TotalTime>
  <Pages>10</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National Disability Services</vt:lpstr>
    </vt:vector>
  </TitlesOfParts>
  <Company>Microsoft</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Gender Pay Gap Report</dc:title>
  <dc:subject/>
  <dc:creator>Ceidy Mosquera</dc:creator>
  <cp:keywords/>
  <dc:description/>
  <cp:lastModifiedBy>Carolina Pachioli</cp:lastModifiedBy>
  <cp:revision>32</cp:revision>
  <cp:lastPrinted>2018-10-13T04:15:00Z</cp:lastPrinted>
  <dcterms:created xsi:type="dcterms:W3CDTF">2024-03-07T17:04:00Z</dcterms:created>
  <dcterms:modified xsi:type="dcterms:W3CDTF">2024-03-08T04:16:00Z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main">
    <vt:lpwstr>11;#Business|cda8dbc4-6f9f-49da-835f-dd4964337912</vt:lpwstr>
  </property>
  <property fmtid="{D5CDD505-2E9C-101B-9397-08002B2CF9AE}" pid="4" name="Record Type">
    <vt:lpwstr>27;#Template|4833bb76-54a9-454e-93b2-00ec5aeb0419</vt:lpwstr>
  </property>
  <property fmtid="{D5CDD505-2E9C-101B-9397-08002B2CF9AE}" pid="5" name="ContentTypeId">
    <vt:lpwstr>0x010100335BFDCC06FE1843927B8286CBFDCC0E</vt:lpwstr>
  </property>
  <property fmtid="{D5CDD505-2E9C-101B-9397-08002B2CF9AE}" pid="6" name="MediaServiceImageTags">
    <vt:lpwstr/>
  </property>
</Properties>
</file>