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5899" w14:textId="3540CABA" w:rsidR="00876C35" w:rsidRDefault="00876C35" w:rsidP="00876C35">
      <w:pPr>
        <w:pStyle w:val="Heading2"/>
      </w:pPr>
      <w:r>
        <w:t xml:space="preserve">Slide One </w:t>
      </w:r>
    </w:p>
    <w:p w14:paraId="76D18099" w14:textId="368460D8" w:rsidR="0009282A" w:rsidRDefault="0009282A" w:rsidP="0009282A">
      <w:pPr>
        <w:pStyle w:val="Heading3"/>
        <w:rPr>
          <w:lang w:val="en-US"/>
        </w:rPr>
      </w:pPr>
      <w:r>
        <w:rPr>
          <w:lang w:val="en-US"/>
        </w:rPr>
        <w:t>The Separation of Specialist Disability Accommodation (SDA) and Supported In depended Living (SIL)</w:t>
      </w:r>
    </w:p>
    <w:p w14:paraId="007477F8" w14:textId="69E5CA82" w:rsidR="00167866" w:rsidRPr="00167866" w:rsidRDefault="00167866" w:rsidP="00167866">
      <w:r w:rsidRPr="00167866">
        <w:rPr>
          <w:lang w:val="en-US"/>
        </w:rPr>
        <w:t xml:space="preserve">National Disability Services Limited (NDS) believes that the information contained in this presentation is correct </w:t>
      </w:r>
      <w:r w:rsidR="00083BB7">
        <w:rPr>
          <w:lang w:val="en-US"/>
        </w:rPr>
        <w:t>at the time of publishing, May</w:t>
      </w:r>
      <w:r w:rsidRPr="00167866">
        <w:rPr>
          <w:lang w:val="en-US"/>
        </w:rPr>
        <w:t xml:space="preserve"> 2020. NDS reserves the right to vary any of the content without further notice. The information provided in this presentation should not be relied on instead of other legal, medical, financial or professional advice.  </w:t>
      </w:r>
    </w:p>
    <w:p w14:paraId="576123F6" w14:textId="508177E3" w:rsidR="00167866" w:rsidRPr="00167866" w:rsidRDefault="00167866" w:rsidP="00167866">
      <w:r w:rsidRPr="00167866">
        <w:rPr>
          <w:lang w:val="en-US"/>
        </w:rPr>
        <w:t xml:space="preserve">This resource was developed with thanks to the Victorian Government and is tailored to the Victorian operating environment. </w:t>
      </w:r>
    </w:p>
    <w:p w14:paraId="79F94A5D" w14:textId="0B4571C4" w:rsidR="00876C35" w:rsidRPr="00876C35" w:rsidRDefault="00876C35" w:rsidP="00876C35">
      <w:pPr>
        <w:pStyle w:val="Heading2"/>
      </w:pPr>
      <w:r>
        <w:t>Slide two</w:t>
      </w:r>
    </w:p>
    <w:p w14:paraId="6C34603D" w14:textId="6D3D6164" w:rsidR="00876C35" w:rsidRPr="00876C35" w:rsidRDefault="0009282A" w:rsidP="00876C35">
      <w:pPr>
        <w:pStyle w:val="Heading3"/>
      </w:pPr>
      <w:r>
        <w:t>Discussion points</w:t>
      </w:r>
      <w:r w:rsidR="00876C35" w:rsidRPr="00876C35">
        <w:t>:</w:t>
      </w:r>
    </w:p>
    <w:p w14:paraId="0EEA232A" w14:textId="77777777" w:rsidR="006877B3" w:rsidRPr="0009282A" w:rsidRDefault="00EB4846" w:rsidP="0009282A">
      <w:pPr>
        <w:rPr>
          <w:rFonts w:eastAsiaTheme="majorEastAsia"/>
        </w:rPr>
      </w:pPr>
      <w:r w:rsidRPr="0009282A">
        <w:rPr>
          <w:rFonts w:eastAsiaTheme="majorEastAsia"/>
          <w:lang w:val="en-US"/>
        </w:rPr>
        <w:t>Participant choice and control</w:t>
      </w:r>
    </w:p>
    <w:p w14:paraId="4753CD90" w14:textId="77777777" w:rsidR="006877B3" w:rsidRPr="0009282A" w:rsidRDefault="00EB4846" w:rsidP="0009282A">
      <w:pPr>
        <w:rPr>
          <w:rFonts w:eastAsiaTheme="majorEastAsia"/>
        </w:rPr>
      </w:pPr>
      <w:r w:rsidRPr="0009282A">
        <w:rPr>
          <w:rFonts w:eastAsiaTheme="majorEastAsia"/>
          <w:lang w:val="en-US"/>
        </w:rPr>
        <w:t>Why separate SDA and SIL</w:t>
      </w:r>
    </w:p>
    <w:p w14:paraId="7501D5D7" w14:textId="77777777" w:rsidR="006877B3" w:rsidRPr="0009282A" w:rsidRDefault="00EB4846" w:rsidP="0009282A">
      <w:pPr>
        <w:rPr>
          <w:rFonts w:eastAsiaTheme="majorEastAsia"/>
        </w:rPr>
      </w:pPr>
      <w:r w:rsidRPr="0009282A">
        <w:rPr>
          <w:rFonts w:eastAsiaTheme="majorEastAsia"/>
          <w:lang w:val="en-US"/>
        </w:rPr>
        <w:t>Legislative changes in Victoria</w:t>
      </w:r>
    </w:p>
    <w:p w14:paraId="627592B6" w14:textId="77777777" w:rsidR="006877B3" w:rsidRPr="0009282A" w:rsidRDefault="00EB4846" w:rsidP="0009282A">
      <w:pPr>
        <w:rPr>
          <w:rFonts w:eastAsiaTheme="majorEastAsia"/>
        </w:rPr>
      </w:pPr>
      <w:r w:rsidRPr="0009282A">
        <w:rPr>
          <w:rFonts w:eastAsiaTheme="majorEastAsia"/>
          <w:lang w:val="en-US"/>
        </w:rPr>
        <w:t>Comparing lease types</w:t>
      </w:r>
    </w:p>
    <w:p w14:paraId="538A48D3" w14:textId="77777777" w:rsidR="006877B3" w:rsidRPr="0009282A" w:rsidRDefault="00EB4846" w:rsidP="0009282A">
      <w:pPr>
        <w:rPr>
          <w:rFonts w:eastAsiaTheme="majorEastAsia"/>
        </w:rPr>
      </w:pPr>
      <w:r w:rsidRPr="0009282A">
        <w:rPr>
          <w:rFonts w:eastAsiaTheme="majorEastAsia"/>
          <w:lang w:val="en-US"/>
        </w:rPr>
        <w:t>Activities SDA providers are responsible for</w:t>
      </w:r>
    </w:p>
    <w:p w14:paraId="7B18B864" w14:textId="77777777" w:rsidR="006877B3" w:rsidRPr="0009282A" w:rsidRDefault="00EB4846" w:rsidP="0009282A">
      <w:pPr>
        <w:rPr>
          <w:rFonts w:eastAsiaTheme="majorEastAsia"/>
        </w:rPr>
      </w:pPr>
      <w:r w:rsidRPr="0009282A">
        <w:rPr>
          <w:rFonts w:eastAsiaTheme="majorEastAsia"/>
          <w:lang w:val="en-US"/>
        </w:rPr>
        <w:t>The role of the SDA provider – Collaboration agreement</w:t>
      </w:r>
    </w:p>
    <w:p w14:paraId="4D6087BB" w14:textId="77777777" w:rsidR="0009282A" w:rsidRDefault="00EB4846" w:rsidP="0009282A">
      <w:pPr>
        <w:rPr>
          <w:rFonts w:eastAsiaTheme="majorEastAsia"/>
          <w:lang w:val="en-US"/>
        </w:rPr>
      </w:pPr>
      <w:r w:rsidRPr="0009282A">
        <w:rPr>
          <w:rFonts w:eastAsiaTheme="majorEastAsia"/>
          <w:lang w:val="en-US"/>
        </w:rPr>
        <w:t>The role of the SIL provider – Collaboration agreement</w:t>
      </w:r>
    </w:p>
    <w:p w14:paraId="76DE21C9" w14:textId="246EE554" w:rsidR="00F43CD9" w:rsidRPr="0009282A" w:rsidRDefault="00F43CD9" w:rsidP="0009282A">
      <w:pPr>
        <w:pStyle w:val="Heading2"/>
      </w:pPr>
      <w:r>
        <w:t>Slide three</w:t>
      </w:r>
    </w:p>
    <w:p w14:paraId="7F033101" w14:textId="66D64ADC" w:rsidR="00876C35" w:rsidRPr="00876C35" w:rsidRDefault="0009282A" w:rsidP="00876C35">
      <w:pPr>
        <w:pStyle w:val="Heading3"/>
      </w:pPr>
      <w:r>
        <w:t>Participant choice and control</w:t>
      </w:r>
    </w:p>
    <w:p w14:paraId="72F8DDC5" w14:textId="77777777" w:rsidR="006877B3" w:rsidRPr="0009282A" w:rsidRDefault="00EB4846" w:rsidP="0009282A">
      <w:pPr>
        <w:rPr>
          <w:rFonts w:eastAsiaTheme="majorEastAsia"/>
        </w:rPr>
      </w:pPr>
      <w:r w:rsidRPr="0009282A">
        <w:rPr>
          <w:rFonts w:eastAsiaTheme="majorEastAsia"/>
          <w:lang w:val="en-US"/>
        </w:rPr>
        <w:t>NDIS participants have choice and control over the supports and services they receive</w:t>
      </w:r>
    </w:p>
    <w:p w14:paraId="5060BD3C" w14:textId="77777777" w:rsidR="006877B3" w:rsidRPr="0009282A" w:rsidRDefault="00EB4846" w:rsidP="0009282A">
      <w:pPr>
        <w:rPr>
          <w:rFonts w:eastAsiaTheme="majorEastAsia"/>
        </w:rPr>
      </w:pPr>
      <w:r w:rsidRPr="0009282A">
        <w:rPr>
          <w:rFonts w:eastAsiaTheme="majorEastAsia"/>
          <w:lang w:val="en-US"/>
        </w:rPr>
        <w:t>NDIS participants can choose which SIL provider they wish to engage</w:t>
      </w:r>
    </w:p>
    <w:p w14:paraId="2A488B94" w14:textId="77777777" w:rsidR="006877B3" w:rsidRPr="0009282A" w:rsidRDefault="00EB4846" w:rsidP="0009282A">
      <w:pPr>
        <w:rPr>
          <w:rFonts w:eastAsiaTheme="majorEastAsia"/>
        </w:rPr>
      </w:pPr>
      <w:r w:rsidRPr="0009282A">
        <w:rPr>
          <w:rFonts w:eastAsiaTheme="majorEastAsia"/>
          <w:lang w:val="en-US"/>
        </w:rPr>
        <w:t>The participant may have more than one SIL provider</w:t>
      </w:r>
    </w:p>
    <w:p w14:paraId="3C1F6C01" w14:textId="77777777" w:rsidR="006877B3" w:rsidRPr="0009282A" w:rsidRDefault="00EB4846" w:rsidP="0009282A">
      <w:pPr>
        <w:rPr>
          <w:rFonts w:eastAsiaTheme="majorEastAsia"/>
        </w:rPr>
      </w:pPr>
      <w:r w:rsidRPr="0009282A">
        <w:rPr>
          <w:rFonts w:eastAsiaTheme="majorEastAsia"/>
          <w:lang w:val="en-US"/>
        </w:rPr>
        <w:t>When a participant chooses to self-manage or plan-manage their NDIS funds, they may choose to receive support and services from NDIS registered providers or unregistered providers of NDIS supports</w:t>
      </w:r>
    </w:p>
    <w:p w14:paraId="1C7F47E5" w14:textId="77777777" w:rsidR="006877B3" w:rsidRPr="0009282A" w:rsidRDefault="00EB4846" w:rsidP="0009282A">
      <w:pPr>
        <w:rPr>
          <w:rFonts w:eastAsiaTheme="majorEastAsia"/>
        </w:rPr>
      </w:pPr>
      <w:r w:rsidRPr="0009282A">
        <w:rPr>
          <w:rFonts w:eastAsiaTheme="majorEastAsia"/>
          <w:lang w:val="en-US"/>
        </w:rPr>
        <w:t xml:space="preserve">Depending on the support provided, the participant may choose to receive SIL from an unregistered SIL provider </w:t>
      </w:r>
    </w:p>
    <w:p w14:paraId="59F5D463" w14:textId="317D07CC" w:rsidR="006877B3" w:rsidRPr="0009282A" w:rsidRDefault="00EB4846" w:rsidP="0009282A">
      <w:pPr>
        <w:rPr>
          <w:rFonts w:eastAsiaTheme="majorEastAsia"/>
        </w:rPr>
      </w:pPr>
      <w:r w:rsidRPr="0009282A">
        <w:rPr>
          <w:rFonts w:eastAsiaTheme="majorEastAsia"/>
        </w:rPr>
        <w:t xml:space="preserve">“Each participant’s right to exercise choice and control over other NDIS support provision is not limited by their choice of specialist disability accommodation dwelling” </w:t>
      </w:r>
      <w:hyperlink r:id="rId7" w:history="1">
        <w:r w:rsidRPr="0009282A">
          <w:rPr>
            <w:rStyle w:val="Hyperlink"/>
            <w:rFonts w:eastAsiaTheme="majorEastAsia"/>
          </w:rPr>
          <w:t>NDIS Practice Standards</w:t>
        </w:r>
      </w:hyperlink>
      <w:r w:rsidRPr="0009282A">
        <w:rPr>
          <w:rFonts w:eastAsiaTheme="majorEastAsia"/>
        </w:rPr>
        <w:t xml:space="preserve"> </w:t>
      </w:r>
    </w:p>
    <w:p w14:paraId="730456FF" w14:textId="77777777" w:rsidR="0009282A" w:rsidRDefault="0009282A" w:rsidP="00876C35">
      <w:pPr>
        <w:pStyle w:val="Heading2"/>
      </w:pPr>
    </w:p>
    <w:p w14:paraId="43F96576" w14:textId="4602C31F" w:rsidR="00876C35" w:rsidRDefault="00876C35" w:rsidP="00876C35">
      <w:pPr>
        <w:pStyle w:val="Heading2"/>
      </w:pPr>
      <w:r>
        <w:t>Slide four</w:t>
      </w:r>
    </w:p>
    <w:p w14:paraId="24A1B81A" w14:textId="2F52E1E4" w:rsidR="00F57315" w:rsidRDefault="0009282A" w:rsidP="00F57315">
      <w:pPr>
        <w:pStyle w:val="Heading3"/>
      </w:pPr>
      <w:r>
        <w:t>The separation of SDA and SIL under the NDIS</w:t>
      </w:r>
    </w:p>
    <w:p w14:paraId="1F77B872" w14:textId="77777777" w:rsidR="0009282A" w:rsidRPr="0009282A" w:rsidRDefault="0009282A" w:rsidP="0009282A">
      <w:pPr>
        <w:rPr>
          <w:rFonts w:eastAsiaTheme="majorEastAsia"/>
        </w:rPr>
      </w:pPr>
      <w:r w:rsidRPr="0009282A">
        <w:rPr>
          <w:rFonts w:eastAsiaTheme="majorEastAsia"/>
          <w:lang w:val="en-US"/>
        </w:rPr>
        <w:t>SDA – the delivery of accommodation and associated tenancy support</w:t>
      </w:r>
    </w:p>
    <w:p w14:paraId="4EEBBBA3" w14:textId="77777777" w:rsidR="006877B3" w:rsidRPr="0009282A" w:rsidRDefault="00EB4846" w:rsidP="0009282A">
      <w:pPr>
        <w:pStyle w:val="ListParagraph"/>
        <w:numPr>
          <w:ilvl w:val="0"/>
          <w:numId w:val="16"/>
        </w:numPr>
        <w:rPr>
          <w:rFonts w:eastAsiaTheme="majorEastAsia"/>
        </w:rPr>
      </w:pPr>
      <w:r w:rsidRPr="0009282A">
        <w:rPr>
          <w:rFonts w:eastAsiaTheme="majorEastAsia"/>
          <w:lang w:val="en-US"/>
        </w:rPr>
        <w:t>Obligations beyond those of a usual landlord</w:t>
      </w:r>
    </w:p>
    <w:p w14:paraId="448A4E55" w14:textId="77777777" w:rsidR="006877B3" w:rsidRPr="0009282A" w:rsidRDefault="00EB4846" w:rsidP="0009282A">
      <w:pPr>
        <w:pStyle w:val="ListParagraph"/>
        <w:numPr>
          <w:ilvl w:val="0"/>
          <w:numId w:val="16"/>
        </w:numPr>
        <w:rPr>
          <w:rFonts w:eastAsiaTheme="majorEastAsia"/>
        </w:rPr>
      </w:pPr>
      <w:r w:rsidRPr="0009282A">
        <w:rPr>
          <w:rFonts w:eastAsiaTheme="majorEastAsia"/>
          <w:lang w:val="en-US"/>
        </w:rPr>
        <w:t>Is a funded NDIS support and assumes the provider has a strong relationship with participants</w:t>
      </w:r>
    </w:p>
    <w:p w14:paraId="08EBDEDC" w14:textId="77777777" w:rsidR="006877B3" w:rsidRPr="0009282A" w:rsidRDefault="00EB4846" w:rsidP="0009282A">
      <w:pPr>
        <w:pStyle w:val="ListParagraph"/>
        <w:numPr>
          <w:ilvl w:val="0"/>
          <w:numId w:val="16"/>
        </w:numPr>
        <w:rPr>
          <w:rFonts w:eastAsiaTheme="majorEastAsia"/>
        </w:rPr>
      </w:pPr>
      <w:r w:rsidRPr="0009282A">
        <w:rPr>
          <w:rFonts w:eastAsiaTheme="majorEastAsia"/>
          <w:lang w:val="en-US"/>
        </w:rPr>
        <w:t>The owner of the SDA does not need to be the SDA provider</w:t>
      </w:r>
    </w:p>
    <w:p w14:paraId="5BD15871" w14:textId="77777777" w:rsidR="006877B3" w:rsidRPr="0009282A" w:rsidRDefault="00EB4846" w:rsidP="0009282A">
      <w:pPr>
        <w:pStyle w:val="ListParagraph"/>
        <w:numPr>
          <w:ilvl w:val="0"/>
          <w:numId w:val="16"/>
        </w:numPr>
        <w:rPr>
          <w:rFonts w:eastAsiaTheme="majorEastAsia"/>
        </w:rPr>
      </w:pPr>
      <w:r w:rsidRPr="0009282A">
        <w:rPr>
          <w:rFonts w:eastAsiaTheme="majorEastAsia"/>
          <w:lang w:val="en-US"/>
        </w:rPr>
        <w:t xml:space="preserve">Must have a </w:t>
      </w:r>
      <w:r w:rsidRPr="0009282A">
        <w:rPr>
          <w:rFonts w:eastAsiaTheme="majorEastAsia"/>
        </w:rPr>
        <w:t xml:space="preserve">complaints management and resolution system that meets the requirements of the NDIS (Complaints Management and Resolution) Rules 2018 </w:t>
      </w:r>
    </w:p>
    <w:p w14:paraId="093ABB93" w14:textId="77777777" w:rsidR="006877B3" w:rsidRPr="0009282A" w:rsidRDefault="00EB4846" w:rsidP="0009282A">
      <w:pPr>
        <w:pStyle w:val="ListParagraph"/>
        <w:numPr>
          <w:ilvl w:val="0"/>
          <w:numId w:val="16"/>
        </w:numPr>
        <w:rPr>
          <w:rFonts w:eastAsiaTheme="majorEastAsia"/>
        </w:rPr>
      </w:pPr>
      <w:r w:rsidRPr="0009282A">
        <w:rPr>
          <w:rFonts w:eastAsiaTheme="majorEastAsia"/>
        </w:rPr>
        <w:t>Must have an incident management system is maintained in accordance with the NDIS (Incident Management and Reportable Incidents) Rules 2018</w:t>
      </w:r>
    </w:p>
    <w:p w14:paraId="2953B937" w14:textId="6B05EB86" w:rsidR="0009282A" w:rsidRDefault="0009282A" w:rsidP="0009282A">
      <w:pPr>
        <w:rPr>
          <w:rFonts w:eastAsiaTheme="majorEastAsia"/>
          <w:lang w:val="en-US"/>
        </w:rPr>
      </w:pPr>
      <w:r w:rsidRPr="0009282A">
        <w:rPr>
          <w:rFonts w:eastAsiaTheme="majorEastAsia"/>
          <w:lang w:val="en-US"/>
        </w:rPr>
        <w:t>SIL – the delivery of daily personalized support in a participant’s home (SDA or non-SDA)</w:t>
      </w:r>
    </w:p>
    <w:p w14:paraId="5D296904" w14:textId="6717E96C" w:rsidR="0009282A" w:rsidRPr="0009282A" w:rsidRDefault="0009282A" w:rsidP="0009282A">
      <w:pPr>
        <w:rPr>
          <w:rFonts w:eastAsiaTheme="majorEastAsia"/>
        </w:rPr>
      </w:pPr>
      <w:r>
        <w:rPr>
          <w:rFonts w:eastAsiaTheme="majorEastAsia"/>
          <w:lang w:val="en-US"/>
        </w:rPr>
        <w:t xml:space="preserve">By </w:t>
      </w:r>
      <w:proofErr w:type="gramStart"/>
      <w:r>
        <w:rPr>
          <w:rFonts w:eastAsiaTheme="majorEastAsia"/>
          <w:lang w:val="en-US"/>
        </w:rPr>
        <w:t>understanding</w:t>
      </w:r>
      <w:proofErr w:type="gramEnd"/>
      <w:r>
        <w:rPr>
          <w:rFonts w:eastAsiaTheme="majorEastAsia"/>
          <w:lang w:val="en-US"/>
        </w:rPr>
        <w:t xml:space="preserve"> what SDA is we</w:t>
      </w:r>
      <w:r w:rsidR="00EB4846">
        <w:rPr>
          <w:rFonts w:eastAsiaTheme="majorEastAsia"/>
          <w:lang w:val="en-US"/>
        </w:rPr>
        <w:t xml:space="preserve"> can understand what SIL is not</w:t>
      </w:r>
    </w:p>
    <w:p w14:paraId="29100B74" w14:textId="19B0A918" w:rsidR="00F57315" w:rsidRDefault="00F57315" w:rsidP="00F57315">
      <w:pPr>
        <w:pStyle w:val="Heading2"/>
      </w:pPr>
      <w:r>
        <w:t>Slide five</w:t>
      </w:r>
    </w:p>
    <w:p w14:paraId="3AF2DE55" w14:textId="116DC60F" w:rsidR="00F57315" w:rsidRPr="00F57315" w:rsidRDefault="0009282A" w:rsidP="00F57315">
      <w:pPr>
        <w:pStyle w:val="Heading3"/>
      </w:pPr>
      <w:r>
        <w:t>The separation of SDA and SIL continued…</w:t>
      </w:r>
    </w:p>
    <w:p w14:paraId="1A0D8341" w14:textId="77777777" w:rsidR="0009282A" w:rsidRPr="0009282A" w:rsidRDefault="0009282A" w:rsidP="0009282A">
      <w:pPr>
        <w:rPr>
          <w:rFonts w:eastAsiaTheme="majorEastAsia"/>
        </w:rPr>
      </w:pPr>
      <w:r w:rsidRPr="0009282A">
        <w:rPr>
          <w:rFonts w:eastAsiaTheme="majorEastAsia"/>
          <w:lang w:val="en-US"/>
        </w:rPr>
        <w:t>Why separate SDA and SIL?</w:t>
      </w:r>
    </w:p>
    <w:p w14:paraId="13710DC9" w14:textId="77777777" w:rsidR="006877B3" w:rsidRPr="0009282A" w:rsidRDefault="00EB4846" w:rsidP="0009282A">
      <w:pPr>
        <w:rPr>
          <w:rFonts w:eastAsiaTheme="majorEastAsia"/>
        </w:rPr>
      </w:pPr>
      <w:r w:rsidRPr="0009282A">
        <w:rPr>
          <w:rFonts w:eastAsiaTheme="majorEastAsia"/>
          <w:lang w:val="en-US"/>
        </w:rPr>
        <w:t>Choice</w:t>
      </w:r>
    </w:p>
    <w:p w14:paraId="732AA232" w14:textId="77777777" w:rsidR="006877B3" w:rsidRPr="0009282A" w:rsidRDefault="00EB4846" w:rsidP="0009282A">
      <w:pPr>
        <w:rPr>
          <w:rFonts w:eastAsiaTheme="majorEastAsia"/>
        </w:rPr>
      </w:pPr>
      <w:r w:rsidRPr="0009282A">
        <w:rPr>
          <w:rFonts w:eastAsiaTheme="majorEastAsia"/>
          <w:lang w:val="en-US"/>
        </w:rPr>
        <w:t>Accountability</w:t>
      </w:r>
    </w:p>
    <w:p w14:paraId="459D519F" w14:textId="77777777" w:rsidR="006877B3" w:rsidRPr="0009282A" w:rsidRDefault="00EB4846" w:rsidP="0009282A">
      <w:pPr>
        <w:rPr>
          <w:rFonts w:eastAsiaTheme="majorEastAsia"/>
        </w:rPr>
      </w:pPr>
      <w:r w:rsidRPr="0009282A">
        <w:rPr>
          <w:rFonts w:eastAsiaTheme="majorEastAsia"/>
          <w:lang w:val="en-US"/>
        </w:rPr>
        <w:t>Clarity</w:t>
      </w:r>
    </w:p>
    <w:p w14:paraId="3F512B89" w14:textId="77777777" w:rsidR="006877B3" w:rsidRPr="0009282A" w:rsidRDefault="00EB4846" w:rsidP="0009282A">
      <w:pPr>
        <w:rPr>
          <w:rFonts w:eastAsiaTheme="majorEastAsia"/>
        </w:rPr>
      </w:pPr>
      <w:r w:rsidRPr="0009282A">
        <w:rPr>
          <w:rFonts w:eastAsiaTheme="majorEastAsia"/>
          <w:lang w:val="en-US"/>
        </w:rPr>
        <w:t>Specialization</w:t>
      </w:r>
    </w:p>
    <w:p w14:paraId="27FFFA64" w14:textId="77777777" w:rsidR="0009282A" w:rsidRPr="0009282A" w:rsidRDefault="0009282A" w:rsidP="0009282A">
      <w:pPr>
        <w:rPr>
          <w:rFonts w:eastAsiaTheme="majorEastAsia"/>
        </w:rPr>
      </w:pPr>
      <w:r w:rsidRPr="0009282A">
        <w:rPr>
          <w:rFonts w:eastAsiaTheme="majorEastAsia"/>
          <w:lang w:val="en-US"/>
        </w:rPr>
        <w:t xml:space="preserve">One organization can deliver both SDA and SIL and will be required to demonstrate how this this separated, having clear and stringent conflict of interest policies and practices in place. </w:t>
      </w:r>
    </w:p>
    <w:p w14:paraId="1D3346E6" w14:textId="0ED9AE8B" w:rsidR="0009282A" w:rsidRPr="0009282A" w:rsidRDefault="00E7435E" w:rsidP="0009282A">
      <w:pPr>
        <w:rPr>
          <w:rFonts w:eastAsiaTheme="majorEastAsia"/>
        </w:rPr>
      </w:pPr>
      <w:hyperlink r:id="rId8" w:history="1">
        <w:r w:rsidR="0009282A" w:rsidRPr="0009282A">
          <w:rPr>
            <w:rStyle w:val="Hyperlink"/>
            <w:lang w:val="en-US"/>
          </w:rPr>
          <w:t>Parliament of Australia website</w:t>
        </w:r>
      </w:hyperlink>
      <w:r w:rsidR="0009282A" w:rsidRPr="0009282A">
        <w:rPr>
          <w:rFonts w:eastAsiaTheme="majorEastAsia"/>
          <w:lang w:val="en-US"/>
        </w:rPr>
        <w:t xml:space="preserve"> for Joint Standing Committees Enquiry into SIL document</w:t>
      </w:r>
      <w:r w:rsidR="0009282A">
        <w:rPr>
          <w:rFonts w:eastAsiaTheme="majorEastAsia"/>
          <w:lang w:val="en-US"/>
        </w:rPr>
        <w:t xml:space="preserve"> highlights the risks when a support provider is also the landlord.</w:t>
      </w:r>
    </w:p>
    <w:p w14:paraId="2B0C94E0" w14:textId="3B53E98B" w:rsidR="00F57315" w:rsidRDefault="00F57315" w:rsidP="00F57315">
      <w:pPr>
        <w:pStyle w:val="Heading2"/>
      </w:pPr>
      <w:r>
        <w:t>Slide six</w:t>
      </w:r>
    </w:p>
    <w:p w14:paraId="767FAAD7" w14:textId="6DBBE5C4" w:rsidR="00876C35" w:rsidRDefault="0009282A" w:rsidP="0009282A">
      <w:pPr>
        <w:pStyle w:val="Heading3"/>
      </w:pPr>
      <w:r>
        <w:t>Legislative changes in Victoria</w:t>
      </w:r>
    </w:p>
    <w:p w14:paraId="37E9CCE0" w14:textId="77777777" w:rsidR="006877B3" w:rsidRPr="0009282A" w:rsidRDefault="00EB4846" w:rsidP="0009282A">
      <w:r w:rsidRPr="0009282A">
        <w:t>SDA was removed from the Disability Act 2006 and included in the Residential Tenancies Act under Part 12 A, all properties gazetted from the Disability Act on Jan 1 2020</w:t>
      </w:r>
    </w:p>
    <w:p w14:paraId="1F658ABD" w14:textId="77777777" w:rsidR="006877B3" w:rsidRPr="0009282A" w:rsidRDefault="00EB4846" w:rsidP="0009282A">
      <w:r w:rsidRPr="0009282A">
        <w:lastRenderedPageBreak/>
        <w:t>In response to a number of issues with this process DHHS sought the re-gazettal of properties back under the Disability Act which occurred automatically for all previously gazetted properties – existing residential statements remain valid</w:t>
      </w:r>
    </w:p>
    <w:p w14:paraId="15883494" w14:textId="77777777" w:rsidR="0009282A" w:rsidRPr="0009282A" w:rsidRDefault="0009282A" w:rsidP="0009282A">
      <w:r w:rsidRPr="0009282A">
        <w:t>The current operating environment:</w:t>
      </w:r>
    </w:p>
    <w:p w14:paraId="2555C2EC" w14:textId="77777777" w:rsidR="006877B3" w:rsidRPr="0009282A" w:rsidRDefault="00EB4846" w:rsidP="0009282A">
      <w:pPr>
        <w:numPr>
          <w:ilvl w:val="0"/>
          <w:numId w:val="19"/>
        </w:numPr>
      </w:pPr>
      <w:r w:rsidRPr="0009282A">
        <w:t>SDA provider with dwelling gazetted under Disability Act and with residential statement</w:t>
      </w:r>
    </w:p>
    <w:p w14:paraId="66239134" w14:textId="77777777" w:rsidR="006877B3" w:rsidRPr="0009282A" w:rsidRDefault="00EB4846" w:rsidP="0009282A">
      <w:pPr>
        <w:numPr>
          <w:ilvl w:val="0"/>
          <w:numId w:val="19"/>
        </w:numPr>
      </w:pPr>
      <w:r w:rsidRPr="0009282A">
        <w:t>SDA provider with dwelling operating under the RTA with Part 2 standard agreement</w:t>
      </w:r>
    </w:p>
    <w:p w14:paraId="1B64D5CF" w14:textId="4717DEB2" w:rsidR="00876C35" w:rsidRDefault="00EB4846" w:rsidP="0009282A">
      <w:pPr>
        <w:numPr>
          <w:ilvl w:val="0"/>
          <w:numId w:val="19"/>
        </w:numPr>
      </w:pPr>
      <w:r w:rsidRPr="0009282A">
        <w:t>SDA provider with dwelling operating under the RTA with Part 12 A SDA agreement</w:t>
      </w:r>
    </w:p>
    <w:p w14:paraId="70204ACA" w14:textId="3F0C41C8" w:rsidR="00876C35" w:rsidRDefault="00876C35" w:rsidP="00876C35">
      <w:pPr>
        <w:pStyle w:val="Heading2"/>
      </w:pPr>
      <w:r>
        <w:t>S</w:t>
      </w:r>
      <w:r w:rsidR="00F57315">
        <w:t>lide seven</w:t>
      </w:r>
    </w:p>
    <w:p w14:paraId="3A8768DB" w14:textId="0E18C526" w:rsidR="00876C35" w:rsidRDefault="00D574B7" w:rsidP="00876C35">
      <w:r>
        <w:t>This slide compares the two different lease types available for SDA participants under the Residential Tenancies Act, these being the SDA residency agreement and the residential tenancy agreement and highlights the differences/similarities in the below seven categories.</w:t>
      </w:r>
    </w:p>
    <w:p w14:paraId="675007D0" w14:textId="08CF361F" w:rsidR="00D574B7" w:rsidRDefault="00D574B7" w:rsidP="00E7435E">
      <w:pPr>
        <w:pStyle w:val="Heading3"/>
      </w:pPr>
      <w:r>
        <w:t>SDA residency agreement</w:t>
      </w:r>
    </w:p>
    <w:p w14:paraId="105BFFBB" w14:textId="79C725AE" w:rsidR="00D574B7" w:rsidRDefault="00D574B7" w:rsidP="00876C35">
      <w:r w:rsidRPr="007D7AA0">
        <w:rPr>
          <w:rStyle w:val="Heading5Char"/>
        </w:rPr>
        <w:t>Tenants:</w:t>
      </w:r>
      <w:r>
        <w:t xml:space="preserve"> Available to SDA participants only</w:t>
      </w:r>
    </w:p>
    <w:p w14:paraId="67FD8E4D" w14:textId="6831A284" w:rsidR="0009282A" w:rsidRDefault="0009282A" w:rsidP="00876C35">
      <w:r w:rsidRPr="007D7AA0">
        <w:rPr>
          <w:rStyle w:val="Heading5Char"/>
        </w:rPr>
        <w:t>Exclusive occupancy</w:t>
      </w:r>
      <w:r>
        <w:t>: Yes, room numbers must be listed on the agreement</w:t>
      </w:r>
    </w:p>
    <w:p w14:paraId="25D191D3" w14:textId="533488E7" w:rsidR="00D574B7" w:rsidRDefault="00D574B7" w:rsidP="00D574B7">
      <w:r w:rsidRPr="007D7AA0">
        <w:rPr>
          <w:rStyle w:val="Heading5Char"/>
        </w:rPr>
        <w:t>Starting an agreement:</w:t>
      </w:r>
      <w:r>
        <w:t xml:space="preserve"> </w:t>
      </w:r>
      <w:r w:rsidRPr="00D574B7">
        <w:t>Enter into (signed by resident) or establish (not signed by resident) individual agreements</w:t>
      </w:r>
    </w:p>
    <w:p w14:paraId="2174F5CA" w14:textId="0BD69730" w:rsidR="0009282A" w:rsidRDefault="0009282A" w:rsidP="00D574B7">
      <w:r w:rsidRPr="007D7AA0">
        <w:rPr>
          <w:rStyle w:val="Heading5Char"/>
        </w:rPr>
        <w:t>Agreement type:</w:t>
      </w:r>
      <w:r>
        <w:t xml:space="preserve"> </w:t>
      </w:r>
      <w:r w:rsidRPr="0009282A">
        <w:rPr>
          <w:lang w:val="en-US"/>
        </w:rPr>
        <w:t xml:space="preserve">SDA residency agreement in the standard form as prescribed by the </w:t>
      </w:r>
      <w:hyperlink r:id="rId9" w:history="1">
        <w:r w:rsidRPr="0009282A">
          <w:rPr>
            <w:rStyle w:val="Hyperlink"/>
            <w:lang w:val="en-US"/>
          </w:rPr>
          <w:t>Regulations 2019 - Schedule 1</w:t>
        </w:r>
      </w:hyperlink>
      <w:r w:rsidRPr="0009282A">
        <w:rPr>
          <w:lang w:val="en-US"/>
        </w:rPr>
        <w:t xml:space="preserve"> and also found on the </w:t>
      </w:r>
      <w:hyperlink r:id="rId10" w:history="1">
        <w:r w:rsidRPr="0009282A">
          <w:rPr>
            <w:rStyle w:val="Hyperlink"/>
            <w:lang w:val="en-US"/>
          </w:rPr>
          <w:t>CAV website</w:t>
        </w:r>
      </w:hyperlink>
    </w:p>
    <w:p w14:paraId="4272D5DE" w14:textId="4A63ABB2" w:rsidR="0009282A" w:rsidRDefault="0009282A" w:rsidP="00D574B7">
      <w:r w:rsidRPr="007D7AA0">
        <w:rPr>
          <w:rStyle w:val="Heading5Char"/>
        </w:rPr>
        <w:t>Information statement:</w:t>
      </w:r>
      <w:r>
        <w:t xml:space="preserve"> </w:t>
      </w:r>
      <w:hyperlink r:id="rId11" w:history="1">
        <w:r w:rsidRPr="0009282A">
          <w:rPr>
            <w:rStyle w:val="Hyperlink"/>
            <w:lang w:val="en-US"/>
          </w:rPr>
          <w:t>SDA residency agreement information statement</w:t>
        </w:r>
      </w:hyperlink>
      <w:r w:rsidRPr="0009282A">
        <w:rPr>
          <w:lang w:val="en-US"/>
        </w:rPr>
        <w:t xml:space="preserve"> CAV website</w:t>
      </w:r>
    </w:p>
    <w:p w14:paraId="6CBEA234" w14:textId="4F7C8832" w:rsidR="0009282A" w:rsidRPr="00D574B7" w:rsidRDefault="0009282A" w:rsidP="00D574B7">
      <w:r w:rsidRPr="007D7AA0">
        <w:rPr>
          <w:rStyle w:val="Heading5Char"/>
        </w:rPr>
        <w:t>Notify CAV when this type of lease is set up:</w:t>
      </w:r>
      <w:r>
        <w:t xml:space="preserve"> yes</w:t>
      </w:r>
    </w:p>
    <w:p w14:paraId="73A355EE" w14:textId="599927EE" w:rsidR="00D574B7" w:rsidRDefault="00D574B7" w:rsidP="00876C35">
      <w:r w:rsidRPr="007D7AA0">
        <w:rPr>
          <w:rStyle w:val="Heading5Char"/>
        </w:rPr>
        <w:t>Bond:</w:t>
      </w:r>
      <w:r>
        <w:t xml:space="preserve"> No</w:t>
      </w:r>
    </w:p>
    <w:p w14:paraId="639DB764" w14:textId="6D7BF403" w:rsidR="00D574B7" w:rsidRDefault="00D574B7" w:rsidP="00876C35">
      <w:r w:rsidRPr="007D7AA0">
        <w:rPr>
          <w:rStyle w:val="Heading5Char"/>
        </w:rPr>
        <w:t>Rent:</w:t>
      </w:r>
      <w:r>
        <w:t xml:space="preserve"> Six monthly increase</w:t>
      </w:r>
    </w:p>
    <w:p w14:paraId="684FFE63" w14:textId="3D92316C" w:rsidR="00D574B7" w:rsidRPr="00D574B7" w:rsidRDefault="00D574B7" w:rsidP="00D574B7">
      <w:r w:rsidRPr="007D7AA0">
        <w:rPr>
          <w:rStyle w:val="Heading5Char"/>
        </w:rPr>
        <w:t>Damage:</w:t>
      </w:r>
      <w:r>
        <w:t xml:space="preserve"> </w:t>
      </w:r>
      <w:r w:rsidRPr="00D574B7">
        <w:t xml:space="preserve">The resident does not pay for damage to the property caused by because of fair wear and tear, their disability or equipment they need to </w:t>
      </w:r>
      <w:r w:rsidR="0009282A">
        <w:t>help them with their disability</w:t>
      </w:r>
    </w:p>
    <w:p w14:paraId="15890CEA" w14:textId="77777777" w:rsidR="00D574B7" w:rsidRPr="00D574B7" w:rsidRDefault="00D574B7" w:rsidP="00D574B7">
      <w:r w:rsidRPr="007D7AA0">
        <w:rPr>
          <w:rStyle w:val="Heading5Char"/>
        </w:rPr>
        <w:t>Ending an agreement:</w:t>
      </w:r>
      <w:r>
        <w:t xml:space="preserve"> </w:t>
      </w:r>
      <w:r w:rsidRPr="00D574B7">
        <w:t>The resident can end the agreement at any time.</w:t>
      </w:r>
    </w:p>
    <w:p w14:paraId="11E6EFCC" w14:textId="19D70EEF" w:rsidR="00D574B7" w:rsidRDefault="00D574B7" w:rsidP="00D574B7">
      <w:r w:rsidRPr="007D7AA0">
        <w:rPr>
          <w:rStyle w:val="Heading5Char"/>
        </w:rPr>
        <w:t>Notice to vacate:</w:t>
      </w:r>
      <w:r>
        <w:t xml:space="preserve"> </w:t>
      </w:r>
      <w:r w:rsidRPr="00D574B7">
        <w:t>You cannot ask a resident to leave the property without first finding them su</w:t>
      </w:r>
      <w:r w:rsidR="0009282A">
        <w:t>itable temporary accommodation</w:t>
      </w:r>
    </w:p>
    <w:p w14:paraId="6A649F9E" w14:textId="6CF7CB1E" w:rsidR="00E33AFC" w:rsidRDefault="00E33AFC" w:rsidP="00D574B7">
      <w:r w:rsidRPr="007D7AA0">
        <w:rPr>
          <w:rStyle w:val="Heading5Char"/>
        </w:rPr>
        <w:t>Community Visitors:</w:t>
      </w:r>
      <w:r>
        <w:t xml:space="preserve"> Community Visitors can visit at any time with or without notice</w:t>
      </w:r>
    </w:p>
    <w:p w14:paraId="3A6CB11A" w14:textId="5772D9F6" w:rsidR="00E33AFC" w:rsidRDefault="00E33AFC" w:rsidP="00D574B7">
      <w:r w:rsidRPr="007D7AA0">
        <w:rPr>
          <w:rStyle w:val="Heading5Char"/>
        </w:rPr>
        <w:lastRenderedPageBreak/>
        <w:t>Relevant part of the RTA:</w:t>
      </w:r>
      <w:r>
        <w:t xml:space="preserve"> Part 12A of the RTA</w:t>
      </w:r>
    </w:p>
    <w:p w14:paraId="6C2090DA" w14:textId="410285D5" w:rsidR="00E33AFC" w:rsidRPr="00D574B7" w:rsidRDefault="00E33AFC" w:rsidP="00D574B7">
      <w:r w:rsidRPr="007D7AA0">
        <w:rPr>
          <w:rStyle w:val="Heading5Char"/>
        </w:rPr>
        <w:t>NDIS Commission:</w:t>
      </w:r>
      <w:r>
        <w:t xml:space="preserve"> NDIS Practice Standards SDA module for SDA provider and Core module for SIL provider.</w:t>
      </w:r>
    </w:p>
    <w:p w14:paraId="474D0C34" w14:textId="63C802AC" w:rsidR="00D574B7" w:rsidRDefault="00D574B7" w:rsidP="00E7435E">
      <w:pPr>
        <w:pStyle w:val="Heading3"/>
      </w:pPr>
      <w:r>
        <w:t>Residential Tenancy agreement</w:t>
      </w:r>
    </w:p>
    <w:p w14:paraId="0B1B69B0" w14:textId="18D5170B" w:rsidR="00D574B7" w:rsidRDefault="00D574B7" w:rsidP="00876C35">
      <w:r w:rsidRPr="007D7AA0">
        <w:rPr>
          <w:rStyle w:val="Heading5Char"/>
        </w:rPr>
        <w:t>Tenants:</w:t>
      </w:r>
      <w:r>
        <w:t xml:space="preserve"> Available to SDA and non-SDA participants</w:t>
      </w:r>
    </w:p>
    <w:p w14:paraId="41E1D298" w14:textId="6BEA8A61" w:rsidR="00E33AFC" w:rsidRDefault="00E33AFC" w:rsidP="00876C35">
      <w:r w:rsidRPr="007D7AA0">
        <w:rPr>
          <w:rStyle w:val="Heading5Char"/>
        </w:rPr>
        <w:t>Exclusive occupancy:</w:t>
      </w:r>
      <w:r>
        <w:t xml:space="preserve"> No</w:t>
      </w:r>
    </w:p>
    <w:p w14:paraId="47CF61F7" w14:textId="2FCB9EAB" w:rsidR="00D574B7" w:rsidRDefault="00D574B7" w:rsidP="00D574B7">
      <w:r w:rsidRPr="007D7AA0">
        <w:rPr>
          <w:rStyle w:val="Heading5Char"/>
        </w:rPr>
        <w:t>Starting an agreement:</w:t>
      </w:r>
      <w:r>
        <w:t xml:space="preserve"> </w:t>
      </w:r>
      <w:r w:rsidRPr="00D574B7">
        <w:t>Enter into single agreement with all tenants</w:t>
      </w:r>
      <w:r w:rsidR="00E33AFC">
        <w:t>. All tenants must be able to independently understand and sign the agreement</w:t>
      </w:r>
    </w:p>
    <w:p w14:paraId="048A863F" w14:textId="77777777" w:rsidR="00E33AFC" w:rsidRPr="00E33AFC" w:rsidRDefault="00E33AFC" w:rsidP="00E33AFC">
      <w:r w:rsidRPr="007D7AA0">
        <w:rPr>
          <w:rStyle w:val="Heading5Char"/>
        </w:rPr>
        <w:t>Agreement type:</w:t>
      </w:r>
      <w:r>
        <w:t xml:space="preserve"> </w:t>
      </w:r>
      <w:r w:rsidRPr="00E33AFC">
        <w:rPr>
          <w:lang w:val="en-US"/>
        </w:rPr>
        <w:t xml:space="preserve">Part 2 residential tenancy agreement in the standard form as prescribed by the RTA and also found on the </w:t>
      </w:r>
      <w:hyperlink r:id="rId12" w:history="1">
        <w:r w:rsidRPr="00E33AFC">
          <w:rPr>
            <w:rStyle w:val="Hyperlink"/>
            <w:lang w:val="en-US"/>
          </w:rPr>
          <w:t>CAV website</w:t>
        </w:r>
      </w:hyperlink>
    </w:p>
    <w:p w14:paraId="7A47C443" w14:textId="571A1EB0" w:rsidR="00E33AFC" w:rsidRDefault="00E33AFC" w:rsidP="00876C35">
      <w:r w:rsidRPr="007D7AA0">
        <w:rPr>
          <w:rStyle w:val="Heading5Char"/>
        </w:rPr>
        <w:t>Information statement:</w:t>
      </w:r>
      <w:r>
        <w:t xml:space="preserve"> </w:t>
      </w:r>
      <w:hyperlink r:id="rId13" w:history="1">
        <w:r w:rsidRPr="00E33AFC">
          <w:rPr>
            <w:rStyle w:val="Hyperlink"/>
            <w:lang w:val="en-US"/>
          </w:rPr>
          <w:t>Part 2 residency agreement information statement</w:t>
        </w:r>
      </w:hyperlink>
      <w:r w:rsidRPr="00E33AFC">
        <w:rPr>
          <w:lang w:val="en-US"/>
        </w:rPr>
        <w:t xml:space="preserve">  CAV website</w:t>
      </w:r>
    </w:p>
    <w:p w14:paraId="201827F2" w14:textId="1EDAAB3F" w:rsidR="00E33AFC" w:rsidRDefault="00E33AFC" w:rsidP="00876C35">
      <w:r w:rsidRPr="007D7AA0">
        <w:rPr>
          <w:rStyle w:val="Heading5Char"/>
        </w:rPr>
        <w:t>Notify CAV:</w:t>
      </w:r>
      <w:r>
        <w:t xml:space="preserve"> no</w:t>
      </w:r>
    </w:p>
    <w:p w14:paraId="4CB4807B" w14:textId="75B6A0E7" w:rsidR="00D574B7" w:rsidRDefault="00D574B7" w:rsidP="00876C35">
      <w:r w:rsidRPr="007D7AA0">
        <w:rPr>
          <w:rStyle w:val="Heading5Char"/>
        </w:rPr>
        <w:t>Bond:</w:t>
      </w:r>
      <w:r>
        <w:t xml:space="preserve"> Yes</w:t>
      </w:r>
    </w:p>
    <w:p w14:paraId="605AFF71" w14:textId="5AE723DB" w:rsidR="00D574B7" w:rsidRDefault="00D574B7" w:rsidP="00876C35">
      <w:r w:rsidRPr="007D7AA0">
        <w:rPr>
          <w:rStyle w:val="Heading5Char"/>
        </w:rPr>
        <w:t xml:space="preserve">Rent: </w:t>
      </w:r>
      <w:r>
        <w:t>Annual increase</w:t>
      </w:r>
    </w:p>
    <w:p w14:paraId="2546DFA3" w14:textId="769CA563" w:rsidR="00D574B7" w:rsidRPr="00D574B7" w:rsidRDefault="00D574B7" w:rsidP="00D574B7">
      <w:r w:rsidRPr="007D7AA0">
        <w:rPr>
          <w:rStyle w:val="Heading5Char"/>
        </w:rPr>
        <w:t>Damage:</w:t>
      </w:r>
      <w:r>
        <w:t xml:space="preserve"> </w:t>
      </w:r>
      <w:r w:rsidRPr="00D574B7">
        <w:t>The resident/s will have to pay for any damage they cause</w:t>
      </w:r>
      <w:r w:rsidR="00E33AFC">
        <w:t>, except for fair wear and tear</w:t>
      </w:r>
    </w:p>
    <w:p w14:paraId="66301DB9" w14:textId="6C96D0AA" w:rsidR="00D574B7" w:rsidRPr="00D574B7" w:rsidRDefault="00E33AFC" w:rsidP="00D574B7">
      <w:r w:rsidRPr="007D7AA0">
        <w:rPr>
          <w:rStyle w:val="Heading5Char"/>
        </w:rPr>
        <w:t>Ending an agree</w:t>
      </w:r>
      <w:r w:rsidR="00D574B7" w:rsidRPr="007D7AA0">
        <w:rPr>
          <w:rStyle w:val="Heading5Char"/>
        </w:rPr>
        <w:t>ment:</w:t>
      </w:r>
      <w:r w:rsidR="00D574B7">
        <w:t xml:space="preserve"> </w:t>
      </w:r>
      <w:r w:rsidR="00D574B7" w:rsidRPr="00D574B7">
        <w:t>If it is a fixed-term agreement, the resident cannot end the agre</w:t>
      </w:r>
      <w:r>
        <w:t>ement before the lease end date</w:t>
      </w:r>
      <w:r w:rsidR="00D574B7" w:rsidRPr="00D574B7">
        <w:t xml:space="preserve"> </w:t>
      </w:r>
    </w:p>
    <w:p w14:paraId="705776DA" w14:textId="5E8ED1D2" w:rsidR="00D574B7" w:rsidRDefault="00D574B7" w:rsidP="00876C35">
      <w:r w:rsidRPr="007D7AA0">
        <w:rPr>
          <w:rStyle w:val="Heading5Char"/>
        </w:rPr>
        <w:t>Notice to vacate:</w:t>
      </w:r>
      <w:r>
        <w:t xml:space="preserve"> </w:t>
      </w:r>
      <w:r w:rsidRPr="00D574B7">
        <w:t>You can serve a notice to vacate for the reasons outli</w:t>
      </w:r>
      <w:r w:rsidR="00E33AFC">
        <w:t>ned under Victorian rental laws</w:t>
      </w:r>
    </w:p>
    <w:p w14:paraId="28144D84" w14:textId="60F0A22A" w:rsidR="00E33AFC" w:rsidRDefault="00E33AFC" w:rsidP="00876C35">
      <w:r w:rsidRPr="007D7AA0">
        <w:rPr>
          <w:rStyle w:val="Heading5Char"/>
        </w:rPr>
        <w:t>Community Visitor:</w:t>
      </w:r>
      <w:r>
        <w:t xml:space="preserve"> Community Visitors can only visit where this has been requested</w:t>
      </w:r>
    </w:p>
    <w:p w14:paraId="61B47854" w14:textId="0A8A0997" w:rsidR="00E33AFC" w:rsidRDefault="00E33AFC" w:rsidP="00E33AFC">
      <w:pPr>
        <w:rPr>
          <w:lang w:val="en-US"/>
        </w:rPr>
      </w:pPr>
      <w:r>
        <w:t xml:space="preserve">Relevant part of the RTA: </w:t>
      </w:r>
      <w:r w:rsidRPr="00E33AFC">
        <w:rPr>
          <w:lang w:val="en-US"/>
        </w:rPr>
        <w:t xml:space="preserve">Part 2 of the </w:t>
      </w:r>
      <w:hyperlink r:id="rId14" w:history="1">
        <w:r w:rsidRPr="00E33AFC">
          <w:rPr>
            <w:rStyle w:val="Hyperlink"/>
            <w:lang w:val="en-US"/>
          </w:rPr>
          <w:t>RTA</w:t>
        </w:r>
      </w:hyperlink>
      <w:r w:rsidRPr="00E33AFC">
        <w:rPr>
          <w:lang w:val="en-US"/>
        </w:rPr>
        <w:t xml:space="preserve"> &amp; Division 2 of Part 12 A</w:t>
      </w:r>
    </w:p>
    <w:p w14:paraId="6C9EA1A5" w14:textId="750839C9" w:rsidR="00E33AFC" w:rsidRPr="00E33AFC" w:rsidRDefault="00E33AFC" w:rsidP="00E33AFC">
      <w:r w:rsidRPr="007D7AA0">
        <w:rPr>
          <w:rStyle w:val="Heading5Char"/>
        </w:rPr>
        <w:t>NDIS Commission:</w:t>
      </w:r>
      <w:r>
        <w:rPr>
          <w:lang w:val="en-US"/>
        </w:rPr>
        <w:t xml:space="preserve"> </w:t>
      </w:r>
      <w:r>
        <w:t>NDIS Practice Standards SDA module for SDA provider and Core module for SIL provider.</w:t>
      </w:r>
    </w:p>
    <w:p w14:paraId="27C3B6C9" w14:textId="267D2AF9" w:rsidR="00876C35" w:rsidRDefault="00E33AFC" w:rsidP="00876C35">
      <w:pPr>
        <w:pStyle w:val="Heading2"/>
      </w:pPr>
      <w:r>
        <w:t>Slide eight</w:t>
      </w:r>
    </w:p>
    <w:p w14:paraId="5F79D8D0" w14:textId="496FB968" w:rsidR="00876C35" w:rsidRDefault="00876C35" w:rsidP="00876C35">
      <w:pPr>
        <w:pStyle w:val="Heading3"/>
      </w:pPr>
      <w:r>
        <w:t>S</w:t>
      </w:r>
      <w:r w:rsidR="00E33AFC">
        <w:t>epa</w:t>
      </w:r>
      <w:bookmarkStart w:id="0" w:name="_GoBack"/>
      <w:bookmarkEnd w:id="0"/>
      <w:r w:rsidR="00E33AFC">
        <w:t>ration – three streams</w:t>
      </w:r>
    </w:p>
    <w:p w14:paraId="0E8920B6" w14:textId="4CFF0C4E" w:rsidR="00E33AFC" w:rsidRPr="00E33AFC" w:rsidRDefault="00E33AFC" w:rsidP="00E33AFC">
      <w:r>
        <w:rPr>
          <w:lang w:val="en-US"/>
        </w:rPr>
        <w:t xml:space="preserve">1. </w:t>
      </w:r>
      <w:r w:rsidRPr="00E33AFC">
        <w:rPr>
          <w:lang w:val="en-US"/>
        </w:rPr>
        <w:t>SDA – accommodation</w:t>
      </w:r>
    </w:p>
    <w:p w14:paraId="3DB8A655" w14:textId="77777777" w:rsidR="00E33AFC" w:rsidRPr="00E33AFC" w:rsidRDefault="00E33AFC" w:rsidP="00E33AFC">
      <w:r w:rsidRPr="00E33AFC">
        <w:rPr>
          <w:lang w:val="en-US"/>
        </w:rPr>
        <w:t>2. SIL – supports</w:t>
      </w:r>
    </w:p>
    <w:p w14:paraId="6FD1D7E7" w14:textId="77777777" w:rsidR="00E33AFC" w:rsidRPr="00E33AFC" w:rsidRDefault="00E33AFC" w:rsidP="00E33AFC">
      <w:r w:rsidRPr="00E33AFC">
        <w:rPr>
          <w:lang w:val="en-US"/>
        </w:rPr>
        <w:t>3. Participant – everyday living expenses</w:t>
      </w:r>
    </w:p>
    <w:p w14:paraId="6054AEA1" w14:textId="77777777" w:rsidR="00E33AFC" w:rsidRPr="00E33AFC" w:rsidRDefault="00E33AFC" w:rsidP="00E33AFC">
      <w:r w:rsidRPr="00E33AFC">
        <w:rPr>
          <w:lang w:val="en-US"/>
        </w:rPr>
        <w:tab/>
        <w:t>- Food</w:t>
      </w:r>
    </w:p>
    <w:p w14:paraId="2BBC3E1E" w14:textId="77777777" w:rsidR="00E33AFC" w:rsidRPr="00E33AFC" w:rsidRDefault="00E33AFC" w:rsidP="00E33AFC">
      <w:r w:rsidRPr="00E33AFC">
        <w:rPr>
          <w:lang w:val="en-US"/>
        </w:rPr>
        <w:tab/>
        <w:t>- Utilities</w:t>
      </w:r>
    </w:p>
    <w:p w14:paraId="6FA7C064" w14:textId="77777777" w:rsidR="00E33AFC" w:rsidRPr="00E33AFC" w:rsidRDefault="00E33AFC" w:rsidP="00E33AFC">
      <w:r w:rsidRPr="00E33AFC">
        <w:rPr>
          <w:lang w:val="en-US"/>
        </w:rPr>
        <w:tab/>
        <w:t>- Internet</w:t>
      </w:r>
    </w:p>
    <w:p w14:paraId="118C9EB6" w14:textId="77777777" w:rsidR="00E33AFC" w:rsidRPr="00E33AFC" w:rsidRDefault="00E33AFC" w:rsidP="00E33AFC">
      <w:r w:rsidRPr="00E33AFC">
        <w:rPr>
          <w:lang w:val="en-US"/>
        </w:rPr>
        <w:tab/>
        <w:t>- Furniture</w:t>
      </w:r>
    </w:p>
    <w:p w14:paraId="5AB172A0" w14:textId="77777777" w:rsidR="00E33AFC" w:rsidRPr="00E33AFC" w:rsidRDefault="00E33AFC" w:rsidP="00E33AFC">
      <w:r w:rsidRPr="00E33AFC">
        <w:rPr>
          <w:lang w:val="en-US"/>
        </w:rPr>
        <w:lastRenderedPageBreak/>
        <w:tab/>
        <w:t>- Other ‘board’ – optional and must be at the choice of the participant</w:t>
      </w:r>
    </w:p>
    <w:p w14:paraId="38E672DA" w14:textId="6FC351B4" w:rsidR="00F94DB1" w:rsidRPr="00F94DB1" w:rsidRDefault="00E33AFC" w:rsidP="00E33AFC">
      <w:r w:rsidRPr="00E33AFC">
        <w:rPr>
          <w:lang w:val="en-US"/>
        </w:rPr>
        <w:t>Board and lodgings does not exist under the NDIS and the RTA.</w:t>
      </w:r>
    </w:p>
    <w:p w14:paraId="32F4EA46" w14:textId="5681BCA3" w:rsidR="00E33AFC" w:rsidRDefault="00F57315" w:rsidP="00E33AFC">
      <w:pPr>
        <w:pStyle w:val="Heading2"/>
      </w:pPr>
      <w:r>
        <w:t>S</w:t>
      </w:r>
      <w:r w:rsidR="00E33AFC">
        <w:t>lide nine</w:t>
      </w:r>
    </w:p>
    <w:p w14:paraId="462EB259" w14:textId="77777777" w:rsidR="00E33AFC" w:rsidRDefault="00E33AFC" w:rsidP="00E33AFC">
      <w:r>
        <w:t>This slide has a table which lists an activity and where the responsibility of that activity sits being either: the RTA, the NDIS Practice Standards or as a responsibility of the NDIS participant</w:t>
      </w:r>
    </w:p>
    <w:p w14:paraId="68ECD19B" w14:textId="7915B540" w:rsidR="00E33AFC" w:rsidRDefault="00E33AFC" w:rsidP="00E33AFC">
      <w:r w:rsidRPr="007D7AA0">
        <w:rPr>
          <w:rStyle w:val="Heading5Char"/>
        </w:rPr>
        <w:t>Board payments:</w:t>
      </w:r>
      <w:r>
        <w:t xml:space="preserve"> This is an out of pocket non-funded cost at the choice of the participant</w:t>
      </w:r>
    </w:p>
    <w:p w14:paraId="00FFDDE8" w14:textId="758962CC" w:rsidR="00E33AFC" w:rsidRDefault="00E33AFC" w:rsidP="00E33AFC">
      <w:pPr>
        <w:rPr>
          <w:lang w:val="en-US"/>
        </w:rPr>
      </w:pPr>
      <w:r w:rsidRPr="007D7AA0">
        <w:rPr>
          <w:rStyle w:val="Heading5Char"/>
        </w:rPr>
        <w:t>Utilities:</w:t>
      </w:r>
      <w:r>
        <w:t xml:space="preserve"> Under the RTA the </w:t>
      </w:r>
      <w:r w:rsidRPr="00E33AFC">
        <w:rPr>
          <w:lang w:val="en-US"/>
        </w:rPr>
        <w:t>SDA agreement must specify how utilities will be paid</w:t>
      </w:r>
      <w:r>
        <w:rPr>
          <w:lang w:val="en-US"/>
        </w:rPr>
        <w:t>. This is however the responsibility of the NDIS participant. Method of payment is chosen by the participant. SIL may be funded to support undertaking this payment process</w:t>
      </w:r>
    </w:p>
    <w:p w14:paraId="32A01695" w14:textId="15810A66" w:rsidR="00E33AFC" w:rsidRDefault="00E33AFC" w:rsidP="00E33AFC">
      <w:pPr>
        <w:rPr>
          <w:lang w:val="en-US"/>
        </w:rPr>
      </w:pPr>
      <w:r w:rsidRPr="007D7AA0">
        <w:rPr>
          <w:rStyle w:val="Heading5Char"/>
        </w:rPr>
        <w:t>Annual dwelling attestation:</w:t>
      </w:r>
      <w:r>
        <w:rPr>
          <w:lang w:val="en-US"/>
        </w:rPr>
        <w:t xml:space="preserve"> NDIA regulated and the responsibility of the SDA provider to do this</w:t>
      </w:r>
    </w:p>
    <w:p w14:paraId="1278A9C6" w14:textId="48DBE3AD" w:rsidR="00E33AFC" w:rsidRDefault="00E33AFC" w:rsidP="00E33AFC">
      <w:pPr>
        <w:rPr>
          <w:lang w:val="en-US"/>
        </w:rPr>
      </w:pPr>
      <w:r w:rsidRPr="007D7AA0">
        <w:rPr>
          <w:rStyle w:val="Heading5Char"/>
        </w:rPr>
        <w:t>Start an agreement:</w:t>
      </w:r>
      <w:r>
        <w:rPr>
          <w:lang w:val="en-US"/>
        </w:rPr>
        <w:t xml:space="preserve"> the SDA provider under the RTA</w:t>
      </w:r>
    </w:p>
    <w:p w14:paraId="36BA4422" w14:textId="49328AA5" w:rsidR="00E33AFC" w:rsidRDefault="00E33AFC" w:rsidP="00E33AFC">
      <w:pPr>
        <w:rPr>
          <w:lang w:val="en-US"/>
        </w:rPr>
      </w:pPr>
      <w:r w:rsidRPr="007D7AA0">
        <w:rPr>
          <w:rStyle w:val="Heading5Char"/>
        </w:rPr>
        <w:t>Create a new agreement when room change</w:t>
      </w:r>
      <w:r>
        <w:rPr>
          <w:lang w:val="en-US"/>
        </w:rPr>
        <w:t>: the SDA provider under the RTA</w:t>
      </w:r>
    </w:p>
    <w:p w14:paraId="32FDAD64" w14:textId="496AC9B4" w:rsidR="00187943" w:rsidRDefault="00187943" w:rsidP="00E33AFC">
      <w:pPr>
        <w:rPr>
          <w:lang w:val="en-US"/>
        </w:rPr>
      </w:pPr>
      <w:r w:rsidRPr="007D7AA0">
        <w:rPr>
          <w:rStyle w:val="Heading5Char"/>
        </w:rPr>
        <w:t>Charge rent:</w:t>
      </w:r>
      <w:r>
        <w:rPr>
          <w:lang w:val="en-US"/>
        </w:rPr>
        <w:t xml:space="preserve"> The SDA provider under the RTA</w:t>
      </w:r>
    </w:p>
    <w:p w14:paraId="7391A51E" w14:textId="77777777" w:rsidR="00187943" w:rsidRPr="00187943" w:rsidRDefault="00187943" w:rsidP="00187943">
      <w:r w:rsidRPr="007D7AA0">
        <w:rPr>
          <w:rStyle w:val="Heading5Char"/>
        </w:rPr>
        <w:t xml:space="preserve">Dwelling safety and evacuation procedures: </w:t>
      </w:r>
      <w:r>
        <w:rPr>
          <w:lang w:val="en-US"/>
        </w:rPr>
        <w:t xml:space="preserve">The SDA provider under the NDIS Commission NDIS Practice Standards which state, </w:t>
      </w:r>
      <w:r w:rsidRPr="00187943">
        <w:t>SDA “The agreement includes information about dwelling safety features, including fire alarms and building evacuation procedures, and how this information will be communicated to other providers who deliver supported independent living to each participant in the dwelling” p. 40</w:t>
      </w:r>
    </w:p>
    <w:p w14:paraId="1854DA04" w14:textId="7E15BD0E" w:rsidR="00187943" w:rsidRPr="00187943" w:rsidRDefault="00187943" w:rsidP="00187943">
      <w:r w:rsidRPr="007D7AA0">
        <w:rPr>
          <w:rStyle w:val="Heading5Char"/>
        </w:rPr>
        <w:t>Manage vacancies:</w:t>
      </w:r>
      <w:r>
        <w:t xml:space="preserve"> </w:t>
      </w:r>
      <w:r w:rsidRPr="00187943">
        <w:t>SDA</w:t>
      </w:r>
      <w:r>
        <w:t xml:space="preserve"> provider under the NDIS Commission NDIS Practice Standards which states,</w:t>
      </w:r>
      <w:r w:rsidRPr="00187943">
        <w:t xml:space="preserve"> “Policies and procedures are in place about how a provider will declare, advertise and fill vacancies in shared living, including how each participant’s views, preferences and needs are documented and taken into account. The policies are made available to participants in the language, mode of communication and terms which each participant is most likely to understand.” P. 41 (demonstrable indicator under tenancy management)</w:t>
      </w:r>
    </w:p>
    <w:p w14:paraId="0A3C95C9" w14:textId="2302B5A1" w:rsidR="00187943" w:rsidRDefault="00187943" w:rsidP="00187943">
      <w:r w:rsidRPr="00187943">
        <w:rPr>
          <w:lang w:val="en-US"/>
        </w:rPr>
        <w:t>SIL &amp; SDA: “</w:t>
      </w:r>
      <w:r w:rsidRPr="00187943">
        <w:t>In shared living, how vacancies will be filled including the participant’s right to have their needs, wishes, choices and situation taken into account” P. 14 &amp; p. 41</w:t>
      </w:r>
    </w:p>
    <w:p w14:paraId="26CB5AE8" w14:textId="1DCD824A" w:rsidR="00187943" w:rsidRDefault="00187943" w:rsidP="00187943">
      <w:r w:rsidRPr="007D7AA0">
        <w:rPr>
          <w:rStyle w:val="Heading5Char"/>
        </w:rPr>
        <w:t>Find alternate accommodation with notice to vacate</w:t>
      </w:r>
      <w:r>
        <w:t xml:space="preserve">: </w:t>
      </w:r>
      <w:r w:rsidRPr="00187943">
        <w:rPr>
          <w:lang w:val="en-US"/>
        </w:rPr>
        <w:t xml:space="preserve">SDA </w:t>
      </w:r>
      <w:r>
        <w:rPr>
          <w:lang w:val="en-US"/>
        </w:rPr>
        <w:t xml:space="preserve">provider responsibility </w:t>
      </w:r>
      <w:r w:rsidRPr="00187943">
        <w:rPr>
          <w:lang w:val="en-US"/>
        </w:rPr>
        <w:t>when Part 12 A (</w:t>
      </w:r>
      <w:hyperlink r:id="rId15" w:history="1">
        <w:r w:rsidRPr="00187943">
          <w:rPr>
            <w:rStyle w:val="Hyperlink"/>
            <w:lang w:val="en-US"/>
          </w:rPr>
          <w:t>Effect of notice to vacate</w:t>
        </w:r>
      </w:hyperlink>
      <w:r w:rsidRPr="00187943">
        <w:t>)</w:t>
      </w:r>
      <w:r w:rsidRPr="00187943">
        <w:rPr>
          <w:lang w:val="en-US"/>
        </w:rPr>
        <w:t xml:space="preserve"> Not a requirement under Part 2.  </w:t>
      </w:r>
      <w:hyperlink r:id="rId16" w:history="1">
        <w:r w:rsidRPr="00187943">
          <w:rPr>
            <w:rStyle w:val="Hyperlink"/>
          </w:rPr>
          <w:t>CAV website</w:t>
        </w:r>
      </w:hyperlink>
      <w:r w:rsidRPr="00187943">
        <w:t xml:space="preserve"> </w:t>
      </w:r>
      <w:proofErr w:type="gramStart"/>
      <w:r w:rsidRPr="00187943">
        <w:t>You</w:t>
      </w:r>
      <w:proofErr w:type="gramEnd"/>
      <w:r w:rsidRPr="00187943">
        <w:t xml:space="preserve"> (the SDA provider) must find the resident somewhere suitable to live until: the vacate date on the notice, or the resident finds other specialist disability accommodation.</w:t>
      </w:r>
    </w:p>
    <w:p w14:paraId="4DF48BB5" w14:textId="77777777" w:rsidR="00187943" w:rsidRPr="00187943" w:rsidRDefault="00187943" w:rsidP="00187943">
      <w:r w:rsidRPr="007D7AA0">
        <w:rPr>
          <w:rStyle w:val="Heading5Char"/>
        </w:rPr>
        <w:lastRenderedPageBreak/>
        <w:t>The NDIS Practice Standards also states:</w:t>
      </w:r>
      <w:r>
        <w:t xml:space="preserve"> </w:t>
      </w:r>
      <w:r w:rsidRPr="00187943">
        <w:t>SDA “g) Arrangements for continuity of supports (including specialist disability accommodation) in the event or a natural disaster or other emergency” p. 41</w:t>
      </w:r>
    </w:p>
    <w:p w14:paraId="5DD0E3F0" w14:textId="1738A344" w:rsidR="00CA72FB" w:rsidRDefault="00CA72FB" w:rsidP="00CA72FB">
      <w:pPr>
        <w:rPr>
          <w:lang w:val="en-US"/>
        </w:rPr>
      </w:pPr>
      <w:r w:rsidRPr="007D7AA0">
        <w:rPr>
          <w:rStyle w:val="Heading5Char"/>
        </w:rPr>
        <w:t>Make reasonable adjustments to accommodation:</w:t>
      </w:r>
      <w:r>
        <w:t xml:space="preserve"> SDA provider under the RTA, </w:t>
      </w:r>
      <w:hyperlink r:id="rId17" w:history="1">
        <w:r w:rsidRPr="00CA72FB">
          <w:rPr>
            <w:rStyle w:val="Hyperlink"/>
            <w:lang w:val="en-US"/>
          </w:rPr>
          <w:t>Duties of SDA provider</w:t>
        </w:r>
      </w:hyperlink>
      <w:r w:rsidRPr="00CA72FB">
        <w:rPr>
          <w:lang w:val="en-US"/>
        </w:rPr>
        <w:t xml:space="preserve"> Part 12A only (1) An SDA provider who provides an SDA enrolled dwelling must— (ca) install fixtures required by the SDA resident to assist their daily living or proper use and enjoyment of the SDA enrolled dwelling</w:t>
      </w:r>
      <w:r>
        <w:rPr>
          <w:lang w:val="en-US"/>
        </w:rPr>
        <w:t>.</w:t>
      </w:r>
    </w:p>
    <w:p w14:paraId="70E866A7" w14:textId="4A10DFBE" w:rsidR="00E7435E" w:rsidRDefault="00CA72FB" w:rsidP="00E7435E">
      <w:r>
        <w:rPr>
          <w:lang w:val="en-US"/>
        </w:rPr>
        <w:t xml:space="preserve">The NDIS Practice Standards also states </w:t>
      </w:r>
      <w:r w:rsidRPr="00CA72FB">
        <w:t>SDA “Where a change in participant needs or circumstances occurs, reasonable adjustments are made to accommodate the changes.”  p. 42</w:t>
      </w:r>
    </w:p>
    <w:p w14:paraId="04645411" w14:textId="77777777" w:rsidR="00E7435E" w:rsidRDefault="00E7435E">
      <w:pPr>
        <w:spacing w:before="0" w:after="160" w:line="259" w:lineRule="auto"/>
      </w:pPr>
      <w:r>
        <w:br w:type="page"/>
      </w:r>
    </w:p>
    <w:p w14:paraId="621D2A47" w14:textId="797D1F62" w:rsidR="00672B0C" w:rsidRDefault="00672B0C" w:rsidP="00672B0C">
      <w:pPr>
        <w:pStyle w:val="Heading2"/>
      </w:pPr>
      <w:r w:rsidRPr="00672B0C">
        <w:t>Slide ten</w:t>
      </w:r>
    </w:p>
    <w:p w14:paraId="4189F5FB" w14:textId="6A24BB00" w:rsidR="00672B0C" w:rsidRPr="00672B0C" w:rsidRDefault="00672B0C" w:rsidP="00672B0C">
      <w:pPr>
        <w:pStyle w:val="Heading3"/>
      </w:pPr>
      <w:r w:rsidRPr="00672B0C">
        <w:rPr>
          <w:lang w:val="en-US"/>
        </w:rPr>
        <w:t>Collaboration agreement – SDA and SIL</w:t>
      </w:r>
    </w:p>
    <w:p w14:paraId="3B51C01B" w14:textId="062B2DD5" w:rsidR="00672B0C" w:rsidRPr="00672B0C" w:rsidRDefault="00672B0C" w:rsidP="00672B0C">
      <w:r w:rsidRPr="00672B0C">
        <w:rPr>
          <w:lang w:val="en-US"/>
        </w:rPr>
        <w:t>A collaboration agreement is between the SDA provider and the SIL provider and:</w:t>
      </w:r>
    </w:p>
    <w:p w14:paraId="4A43AF3D" w14:textId="77777777" w:rsidR="006877B3" w:rsidRPr="00672B0C" w:rsidRDefault="00EB4846" w:rsidP="00672B0C">
      <w:pPr>
        <w:numPr>
          <w:ilvl w:val="0"/>
          <w:numId w:val="20"/>
        </w:numPr>
      </w:pPr>
      <w:r w:rsidRPr="00672B0C">
        <w:rPr>
          <w:lang w:val="en-US"/>
        </w:rPr>
        <w:t>It establishes a collaborative working relationship</w:t>
      </w:r>
    </w:p>
    <w:p w14:paraId="21A6926D" w14:textId="77777777" w:rsidR="006877B3" w:rsidRPr="00672B0C" w:rsidRDefault="00EB4846" w:rsidP="00672B0C">
      <w:pPr>
        <w:numPr>
          <w:ilvl w:val="0"/>
          <w:numId w:val="20"/>
        </w:numPr>
      </w:pPr>
      <w:r w:rsidRPr="00672B0C">
        <w:rPr>
          <w:lang w:val="en-US"/>
        </w:rPr>
        <w:t>Is not a tenancy agreement</w:t>
      </w:r>
    </w:p>
    <w:p w14:paraId="0E4C1C38" w14:textId="77777777" w:rsidR="006877B3" w:rsidRPr="00672B0C" w:rsidRDefault="00EB4846" w:rsidP="00672B0C">
      <w:pPr>
        <w:numPr>
          <w:ilvl w:val="0"/>
          <w:numId w:val="20"/>
        </w:numPr>
      </w:pPr>
      <w:r w:rsidRPr="00672B0C">
        <w:rPr>
          <w:lang w:val="en-US"/>
        </w:rPr>
        <w:t>Should not contract out any responsibilities of the SDA provider or the SIL provider</w:t>
      </w:r>
    </w:p>
    <w:p w14:paraId="18E341CD" w14:textId="77777777" w:rsidR="006877B3" w:rsidRPr="00672B0C" w:rsidRDefault="00EB4846" w:rsidP="00672B0C">
      <w:pPr>
        <w:numPr>
          <w:ilvl w:val="0"/>
          <w:numId w:val="20"/>
        </w:numPr>
      </w:pPr>
      <w:r w:rsidRPr="00672B0C">
        <w:rPr>
          <w:lang w:val="en-US"/>
        </w:rPr>
        <w:t>Should be developed with consideration of</w:t>
      </w:r>
    </w:p>
    <w:p w14:paraId="61600473" w14:textId="77777777" w:rsidR="006877B3" w:rsidRPr="00672B0C" w:rsidRDefault="00EB4846" w:rsidP="00672B0C">
      <w:pPr>
        <w:numPr>
          <w:ilvl w:val="1"/>
          <w:numId w:val="20"/>
        </w:numPr>
      </w:pPr>
      <w:r w:rsidRPr="00672B0C">
        <w:rPr>
          <w:lang w:val="en-US"/>
        </w:rPr>
        <w:t>Part 12 A of the RTA when an SDA residential agreement is in place</w:t>
      </w:r>
    </w:p>
    <w:p w14:paraId="3B97ABB6" w14:textId="77777777" w:rsidR="006877B3" w:rsidRPr="00672B0C" w:rsidRDefault="00EB4846" w:rsidP="00672B0C">
      <w:pPr>
        <w:numPr>
          <w:ilvl w:val="1"/>
          <w:numId w:val="20"/>
        </w:numPr>
      </w:pPr>
      <w:r w:rsidRPr="00672B0C">
        <w:rPr>
          <w:lang w:val="en-US"/>
        </w:rPr>
        <w:t>Part 2 of the RTA when a standard residential agreement is in place</w:t>
      </w:r>
    </w:p>
    <w:p w14:paraId="44A3293A" w14:textId="77777777" w:rsidR="006877B3" w:rsidRPr="00672B0C" w:rsidRDefault="00EB4846" w:rsidP="00672B0C">
      <w:pPr>
        <w:numPr>
          <w:ilvl w:val="1"/>
          <w:numId w:val="20"/>
        </w:numPr>
      </w:pPr>
      <w:r w:rsidRPr="00672B0C">
        <w:rPr>
          <w:lang w:val="en-US"/>
        </w:rPr>
        <w:t>The NDIS Practice Standards (tenancy SDA module and core SIL module)</w:t>
      </w:r>
    </w:p>
    <w:p w14:paraId="4271742E" w14:textId="77777777" w:rsidR="006877B3" w:rsidRPr="00672B0C" w:rsidRDefault="00EB4846" w:rsidP="00672B0C">
      <w:pPr>
        <w:numPr>
          <w:ilvl w:val="0"/>
          <w:numId w:val="20"/>
        </w:numPr>
      </w:pPr>
      <w:r w:rsidRPr="00672B0C">
        <w:rPr>
          <w:lang w:val="en-US"/>
        </w:rPr>
        <w:t>Should be individualized (NDIS Practice Standards)</w:t>
      </w:r>
    </w:p>
    <w:p w14:paraId="5029F5BA" w14:textId="2D308095" w:rsidR="00672B0C" w:rsidRDefault="00672B0C" w:rsidP="00672B0C">
      <w:pPr>
        <w:pStyle w:val="Heading2"/>
      </w:pPr>
      <w:r>
        <w:lastRenderedPageBreak/>
        <w:t>Slide eleven</w:t>
      </w:r>
    </w:p>
    <w:p w14:paraId="4AA25C3B" w14:textId="77777777" w:rsidR="00672B0C" w:rsidRPr="00672B0C" w:rsidRDefault="00672B0C" w:rsidP="00672B0C">
      <w:pPr>
        <w:pStyle w:val="Heading3"/>
      </w:pPr>
      <w:r w:rsidRPr="00672B0C">
        <w:rPr>
          <w:lang w:val="en-US"/>
        </w:rPr>
        <w:t>The role of the SDA provider – collaboration agreement</w:t>
      </w:r>
    </w:p>
    <w:p w14:paraId="4A83AAE8" w14:textId="77777777" w:rsidR="00672B0C" w:rsidRPr="00672B0C" w:rsidRDefault="00672B0C" w:rsidP="00672B0C">
      <w:r w:rsidRPr="00672B0C">
        <w:t>Documented arrangements are in place with each participant and each participant’s other NDIS providers that deliver supported independent living supports within a specialist disability accommodation dwelling</w:t>
      </w:r>
    </w:p>
    <w:p w14:paraId="3840672A" w14:textId="77777777" w:rsidR="006877B3" w:rsidRPr="00672B0C" w:rsidRDefault="00EB4846" w:rsidP="00672B0C">
      <w:pPr>
        <w:numPr>
          <w:ilvl w:val="0"/>
          <w:numId w:val="21"/>
        </w:numPr>
      </w:pPr>
      <w:r w:rsidRPr="00672B0C">
        <w:t>How the specialist disability accommodation provider will work with other providers who deliver supported independent living supports to ensure the shared living arrangement is working for all tenants</w:t>
      </w:r>
    </w:p>
    <w:p w14:paraId="19C28AC8" w14:textId="77777777" w:rsidR="006877B3" w:rsidRPr="00672B0C" w:rsidRDefault="00EB4846" w:rsidP="00672B0C">
      <w:pPr>
        <w:numPr>
          <w:ilvl w:val="0"/>
          <w:numId w:val="21"/>
        </w:numPr>
      </w:pPr>
      <w:r w:rsidRPr="00672B0C">
        <w:t xml:space="preserve">How potential conflicts involving the participant will be managed </w:t>
      </w:r>
    </w:p>
    <w:p w14:paraId="5752C9EF" w14:textId="77777777" w:rsidR="006877B3" w:rsidRPr="00672B0C" w:rsidRDefault="00EB4846" w:rsidP="00672B0C">
      <w:pPr>
        <w:numPr>
          <w:ilvl w:val="0"/>
          <w:numId w:val="21"/>
        </w:numPr>
      </w:pPr>
      <w:r w:rsidRPr="00672B0C">
        <w:t>Policies and procedures for responding to violence, abuse, exploitation or conflict involving one or more participant which may impact on the condition of the dwelling</w:t>
      </w:r>
    </w:p>
    <w:p w14:paraId="1E19C745" w14:textId="77777777" w:rsidR="006877B3" w:rsidRPr="00672B0C" w:rsidRDefault="00EB4846" w:rsidP="00672B0C">
      <w:pPr>
        <w:numPr>
          <w:ilvl w:val="0"/>
          <w:numId w:val="21"/>
        </w:numPr>
      </w:pPr>
      <w:r w:rsidRPr="00672B0C">
        <w:t>How each participant’s concerns about the SDA dwelling will be communicated to and addressed by the specialist disability accommodation provider</w:t>
      </w:r>
    </w:p>
    <w:p w14:paraId="5DFE55B1" w14:textId="77777777" w:rsidR="006877B3" w:rsidRPr="00672B0C" w:rsidRDefault="00EB4846" w:rsidP="00672B0C">
      <w:pPr>
        <w:numPr>
          <w:ilvl w:val="0"/>
          <w:numId w:val="21"/>
        </w:numPr>
      </w:pPr>
      <w:r w:rsidRPr="00672B0C">
        <w:t xml:space="preserve">How behaviours of concern will be managed, if this a relevant issue for the participant </w:t>
      </w:r>
    </w:p>
    <w:p w14:paraId="012A46EA" w14:textId="77777777" w:rsidR="006877B3" w:rsidRPr="00672B0C" w:rsidRDefault="00EB4846" w:rsidP="00672B0C">
      <w:pPr>
        <w:numPr>
          <w:ilvl w:val="0"/>
          <w:numId w:val="21"/>
        </w:numPr>
      </w:pPr>
      <w:r w:rsidRPr="00672B0C">
        <w:t>How changes to a participant’s circumstances or supports will be agreed and communicated</w:t>
      </w:r>
    </w:p>
    <w:p w14:paraId="4DEF29CB" w14:textId="77777777" w:rsidR="006877B3" w:rsidRPr="00672B0C" w:rsidRDefault="00EB4846" w:rsidP="00672B0C">
      <w:pPr>
        <w:numPr>
          <w:ilvl w:val="0"/>
          <w:numId w:val="21"/>
        </w:numPr>
      </w:pPr>
      <w:r w:rsidRPr="00672B0C">
        <w:t>Arrangements for continuity of supports (including specialist disability accommodation) in the event or a natural disaster or other emergency</w:t>
      </w:r>
    </w:p>
    <w:p w14:paraId="6B231FB8" w14:textId="5FB3B2AA" w:rsidR="006877B3" w:rsidRDefault="00EB4846" w:rsidP="00672B0C">
      <w:pPr>
        <w:numPr>
          <w:ilvl w:val="0"/>
          <w:numId w:val="21"/>
        </w:numPr>
      </w:pPr>
      <w:r w:rsidRPr="00672B0C">
        <w:t>In shared living, how vacancies will be filled including the participant’s right to have their needs, wishes, choices and situation taken into account.</w:t>
      </w:r>
    </w:p>
    <w:p w14:paraId="0BDA02FF" w14:textId="2743F067" w:rsidR="00672B0C" w:rsidRPr="00672B0C" w:rsidRDefault="00E7435E" w:rsidP="00672B0C">
      <w:hyperlink r:id="rId18" w:history="1">
        <w:r w:rsidR="00672B0C" w:rsidRPr="00672B0C">
          <w:rPr>
            <w:rStyle w:val="Hyperlink"/>
          </w:rPr>
          <w:t>NDIS Practice Standards</w:t>
        </w:r>
      </w:hyperlink>
      <w:r w:rsidR="00672B0C">
        <w:t xml:space="preserve"> page 41</w:t>
      </w:r>
    </w:p>
    <w:p w14:paraId="70142317" w14:textId="681CB14D" w:rsidR="00672B0C" w:rsidRPr="00672B0C" w:rsidRDefault="00672B0C" w:rsidP="00672B0C"/>
    <w:p w14:paraId="07CBB6CD" w14:textId="60BB627B" w:rsidR="00672B0C" w:rsidRDefault="00672B0C" w:rsidP="00672B0C">
      <w:pPr>
        <w:pStyle w:val="Heading2"/>
      </w:pPr>
      <w:r>
        <w:t>Slide twelve</w:t>
      </w:r>
    </w:p>
    <w:p w14:paraId="768A3FB3" w14:textId="77777777" w:rsidR="00672B0C" w:rsidRPr="00672B0C" w:rsidRDefault="00672B0C" w:rsidP="00672B0C">
      <w:pPr>
        <w:pStyle w:val="Heading3"/>
      </w:pPr>
      <w:r w:rsidRPr="00672B0C">
        <w:rPr>
          <w:lang w:val="en-US"/>
        </w:rPr>
        <w:t>The role of the SIL provider – collaboration agreement</w:t>
      </w:r>
    </w:p>
    <w:p w14:paraId="654CAED7" w14:textId="77777777" w:rsidR="00672B0C" w:rsidRPr="00672B0C" w:rsidRDefault="00672B0C" w:rsidP="00672B0C">
      <w:r w:rsidRPr="00672B0C">
        <w:t>Where the provider delivers supported independent living supports to participants in specialist disability accommodation dwellings, documented arrangements are in place with each participant and each specialist disability accommodation provider</w:t>
      </w:r>
    </w:p>
    <w:p w14:paraId="49DC5E33" w14:textId="77777777" w:rsidR="006877B3" w:rsidRPr="00672B0C" w:rsidRDefault="00EB4846" w:rsidP="00672B0C">
      <w:pPr>
        <w:numPr>
          <w:ilvl w:val="0"/>
          <w:numId w:val="22"/>
        </w:numPr>
      </w:pPr>
      <w:r w:rsidRPr="00672B0C">
        <w:t>How a participant’s concerns about the dwelling will be communicated and addressed</w:t>
      </w:r>
    </w:p>
    <w:p w14:paraId="26169A2E" w14:textId="77777777" w:rsidR="006877B3" w:rsidRPr="00672B0C" w:rsidRDefault="00EB4846" w:rsidP="00672B0C">
      <w:pPr>
        <w:numPr>
          <w:ilvl w:val="0"/>
          <w:numId w:val="22"/>
        </w:numPr>
      </w:pPr>
      <w:r w:rsidRPr="00672B0C">
        <w:t>How potential conflicts involving participant(s) will be managed</w:t>
      </w:r>
    </w:p>
    <w:p w14:paraId="4C258D68" w14:textId="77777777" w:rsidR="006877B3" w:rsidRPr="00672B0C" w:rsidRDefault="00EB4846" w:rsidP="00672B0C">
      <w:pPr>
        <w:numPr>
          <w:ilvl w:val="0"/>
          <w:numId w:val="22"/>
        </w:numPr>
      </w:pPr>
      <w:r w:rsidRPr="00672B0C">
        <w:t>How changes to participant circumstances and/or support needs will be agreed and communicated</w:t>
      </w:r>
    </w:p>
    <w:p w14:paraId="57AEBF8C" w14:textId="77777777" w:rsidR="006877B3" w:rsidRPr="00672B0C" w:rsidRDefault="00EB4846" w:rsidP="00672B0C">
      <w:pPr>
        <w:numPr>
          <w:ilvl w:val="0"/>
          <w:numId w:val="22"/>
        </w:numPr>
      </w:pPr>
      <w:r w:rsidRPr="00672B0C">
        <w:lastRenderedPageBreak/>
        <w:t>In shared living, how vacancies will be filled, including each participant’s right to have their needs, preferences and situation taken into account</w:t>
      </w:r>
    </w:p>
    <w:p w14:paraId="65F745DC" w14:textId="707AA68E" w:rsidR="006877B3" w:rsidRDefault="00EB4846" w:rsidP="00672B0C">
      <w:pPr>
        <w:numPr>
          <w:ilvl w:val="0"/>
          <w:numId w:val="22"/>
        </w:numPr>
      </w:pPr>
      <w:r w:rsidRPr="00672B0C">
        <w:t>How behaviours of concern which may put tenancies at risk will be managed, if this is a relevant issue for the participant.</w:t>
      </w:r>
    </w:p>
    <w:p w14:paraId="2C547BDD" w14:textId="13F601E7" w:rsidR="00672B0C" w:rsidRPr="00672B0C" w:rsidRDefault="00E7435E" w:rsidP="00672B0C">
      <w:hyperlink r:id="rId19" w:history="1">
        <w:r w:rsidR="00672B0C" w:rsidRPr="00672B0C">
          <w:rPr>
            <w:rStyle w:val="Hyperlink"/>
          </w:rPr>
          <w:t>NDIS Practice Standards</w:t>
        </w:r>
      </w:hyperlink>
      <w:r w:rsidR="00672B0C">
        <w:t xml:space="preserve"> page 14</w:t>
      </w:r>
    </w:p>
    <w:p w14:paraId="15BC9D4E" w14:textId="7FEB768C" w:rsidR="00672B0C" w:rsidRPr="00672B0C" w:rsidRDefault="00672B0C" w:rsidP="00672B0C"/>
    <w:p w14:paraId="75769191" w14:textId="5763CF4D" w:rsidR="00672B0C" w:rsidRDefault="00672B0C" w:rsidP="00672B0C">
      <w:pPr>
        <w:pStyle w:val="Heading2"/>
      </w:pPr>
      <w:r>
        <w:t>Slide thirteen</w:t>
      </w:r>
    </w:p>
    <w:p w14:paraId="4EBF88AF" w14:textId="77777777" w:rsidR="00672B0C" w:rsidRDefault="00672B0C" w:rsidP="00672B0C">
      <w:r>
        <w:t>Got a question? Ask now! Nds.org.au/helpdesk</w:t>
      </w:r>
    </w:p>
    <w:p w14:paraId="24EB818F" w14:textId="77777777" w:rsidR="00672B0C" w:rsidRDefault="00672B0C" w:rsidP="00672B0C">
      <w:r>
        <w:t>For all of your questions on NDIS, SDA/SIL, NDIS Quality and Safeguards and any other disability related question.</w:t>
      </w:r>
    </w:p>
    <w:p w14:paraId="79D61892" w14:textId="77777777" w:rsidR="00672B0C" w:rsidRDefault="00672B0C" w:rsidP="00672B0C">
      <w:r>
        <w:t>This slide has an image of a computer with a happy face.</w:t>
      </w:r>
    </w:p>
    <w:p w14:paraId="01C9E089" w14:textId="64AF7370" w:rsidR="00876C35" w:rsidRDefault="00F57315" w:rsidP="00220384">
      <w:pPr>
        <w:pStyle w:val="Heading2"/>
      </w:pPr>
      <w:r>
        <w:t>S</w:t>
      </w:r>
      <w:r w:rsidR="00672B0C">
        <w:t>lide fourteen</w:t>
      </w:r>
    </w:p>
    <w:p w14:paraId="33DD34D3" w14:textId="77777777" w:rsidR="00220384" w:rsidRDefault="00220384" w:rsidP="00220384">
      <w:r>
        <w:t>NDS logo image</w:t>
      </w:r>
    </w:p>
    <w:p w14:paraId="6737AA4E" w14:textId="77777777" w:rsidR="00220384" w:rsidRPr="00931034" w:rsidRDefault="00220384" w:rsidP="00220384">
      <w:r>
        <w:t>End of document.</w:t>
      </w:r>
    </w:p>
    <w:p w14:paraId="2F1753A4" w14:textId="77777777" w:rsidR="00220384" w:rsidRPr="00220384" w:rsidRDefault="00220384" w:rsidP="00220384">
      <w:pPr>
        <w:rPr>
          <w:b/>
        </w:rPr>
      </w:pPr>
    </w:p>
    <w:sectPr w:rsidR="00220384" w:rsidRPr="00220384" w:rsidSect="00C25D37">
      <w:headerReference w:type="default" r:id="rId2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511" w14:textId="77777777" w:rsidR="006F3622" w:rsidRDefault="006F3622" w:rsidP="00D368C0">
      <w:pPr>
        <w:spacing w:before="0"/>
      </w:pPr>
      <w:r>
        <w:separator/>
      </w:r>
    </w:p>
  </w:endnote>
  <w:endnote w:type="continuationSeparator" w:id="0">
    <w:p w14:paraId="404BB823" w14:textId="77777777" w:rsidR="006F3622" w:rsidRDefault="006F3622"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5557" w14:textId="77777777" w:rsidR="006F3622" w:rsidRDefault="006F3622" w:rsidP="00D368C0">
      <w:pPr>
        <w:spacing w:before="0"/>
      </w:pPr>
      <w:r>
        <w:separator/>
      </w:r>
    </w:p>
  </w:footnote>
  <w:footnote w:type="continuationSeparator" w:id="0">
    <w:p w14:paraId="7A79AC57" w14:textId="77777777" w:rsidR="006F3622" w:rsidRDefault="006F3622"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3383" w14:textId="76A5EDAB" w:rsidR="00B4347C" w:rsidRDefault="00B4347C">
    <w:pPr>
      <w:pStyle w:val="Header"/>
      <w:jc w:val="right"/>
    </w:pPr>
  </w:p>
  <w:p w14:paraId="31CC16BC" w14:textId="77777777" w:rsidR="00B4347C" w:rsidRDefault="00B43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441"/>
    <w:multiLevelType w:val="hybridMultilevel"/>
    <w:tmpl w:val="B2F87F5A"/>
    <w:lvl w:ilvl="0" w:tplc="2BDE4218">
      <w:start w:val="1"/>
      <w:numFmt w:val="decimal"/>
      <w:lvlText w:val="%1."/>
      <w:lvlJc w:val="left"/>
      <w:pPr>
        <w:tabs>
          <w:tab w:val="num" w:pos="720"/>
        </w:tabs>
        <w:ind w:left="720" w:hanging="360"/>
      </w:pPr>
    </w:lvl>
    <w:lvl w:ilvl="1" w:tplc="E8A48362" w:tentative="1">
      <w:start w:val="1"/>
      <w:numFmt w:val="decimal"/>
      <w:lvlText w:val="%2."/>
      <w:lvlJc w:val="left"/>
      <w:pPr>
        <w:tabs>
          <w:tab w:val="num" w:pos="1440"/>
        </w:tabs>
        <w:ind w:left="1440" w:hanging="360"/>
      </w:pPr>
    </w:lvl>
    <w:lvl w:ilvl="2" w:tplc="BC12A212" w:tentative="1">
      <w:start w:val="1"/>
      <w:numFmt w:val="decimal"/>
      <w:lvlText w:val="%3."/>
      <w:lvlJc w:val="left"/>
      <w:pPr>
        <w:tabs>
          <w:tab w:val="num" w:pos="2160"/>
        </w:tabs>
        <w:ind w:left="2160" w:hanging="360"/>
      </w:pPr>
    </w:lvl>
    <w:lvl w:ilvl="3" w:tplc="1744008A" w:tentative="1">
      <w:start w:val="1"/>
      <w:numFmt w:val="decimal"/>
      <w:lvlText w:val="%4."/>
      <w:lvlJc w:val="left"/>
      <w:pPr>
        <w:tabs>
          <w:tab w:val="num" w:pos="2880"/>
        </w:tabs>
        <w:ind w:left="2880" w:hanging="360"/>
      </w:pPr>
    </w:lvl>
    <w:lvl w:ilvl="4" w:tplc="085062CC" w:tentative="1">
      <w:start w:val="1"/>
      <w:numFmt w:val="decimal"/>
      <w:lvlText w:val="%5."/>
      <w:lvlJc w:val="left"/>
      <w:pPr>
        <w:tabs>
          <w:tab w:val="num" w:pos="3600"/>
        </w:tabs>
        <w:ind w:left="3600" w:hanging="360"/>
      </w:pPr>
    </w:lvl>
    <w:lvl w:ilvl="5" w:tplc="CA28FAB6" w:tentative="1">
      <w:start w:val="1"/>
      <w:numFmt w:val="decimal"/>
      <w:lvlText w:val="%6."/>
      <w:lvlJc w:val="left"/>
      <w:pPr>
        <w:tabs>
          <w:tab w:val="num" w:pos="4320"/>
        </w:tabs>
        <w:ind w:left="4320" w:hanging="360"/>
      </w:pPr>
    </w:lvl>
    <w:lvl w:ilvl="6" w:tplc="AAA2B96E" w:tentative="1">
      <w:start w:val="1"/>
      <w:numFmt w:val="decimal"/>
      <w:lvlText w:val="%7."/>
      <w:lvlJc w:val="left"/>
      <w:pPr>
        <w:tabs>
          <w:tab w:val="num" w:pos="5040"/>
        </w:tabs>
        <w:ind w:left="5040" w:hanging="360"/>
      </w:pPr>
    </w:lvl>
    <w:lvl w:ilvl="7" w:tplc="2EB8AAD8" w:tentative="1">
      <w:start w:val="1"/>
      <w:numFmt w:val="decimal"/>
      <w:lvlText w:val="%8."/>
      <w:lvlJc w:val="left"/>
      <w:pPr>
        <w:tabs>
          <w:tab w:val="num" w:pos="5760"/>
        </w:tabs>
        <w:ind w:left="5760" w:hanging="360"/>
      </w:pPr>
    </w:lvl>
    <w:lvl w:ilvl="8" w:tplc="C3984AA8" w:tentative="1">
      <w:start w:val="1"/>
      <w:numFmt w:val="decimal"/>
      <w:lvlText w:val="%9."/>
      <w:lvlJc w:val="left"/>
      <w:pPr>
        <w:tabs>
          <w:tab w:val="num" w:pos="6480"/>
        </w:tabs>
        <w:ind w:left="6480" w:hanging="360"/>
      </w:pPr>
    </w:lvl>
  </w:abstractNum>
  <w:abstractNum w:abstractNumId="1" w15:restartNumberingAfterBreak="0">
    <w:nsid w:val="086E09CC"/>
    <w:multiLevelType w:val="hybridMultilevel"/>
    <w:tmpl w:val="308E47D0"/>
    <w:lvl w:ilvl="0" w:tplc="623873D2">
      <w:start w:val="1"/>
      <w:numFmt w:val="bullet"/>
      <w:lvlText w:val="•"/>
      <w:lvlJc w:val="left"/>
      <w:pPr>
        <w:tabs>
          <w:tab w:val="num" w:pos="720"/>
        </w:tabs>
        <w:ind w:left="720" w:hanging="360"/>
      </w:pPr>
      <w:rPr>
        <w:rFonts w:ascii="Arial" w:hAnsi="Arial" w:hint="default"/>
      </w:rPr>
    </w:lvl>
    <w:lvl w:ilvl="1" w:tplc="A482BA9C" w:tentative="1">
      <w:start w:val="1"/>
      <w:numFmt w:val="bullet"/>
      <w:lvlText w:val="•"/>
      <w:lvlJc w:val="left"/>
      <w:pPr>
        <w:tabs>
          <w:tab w:val="num" w:pos="1440"/>
        </w:tabs>
        <w:ind w:left="1440" w:hanging="360"/>
      </w:pPr>
      <w:rPr>
        <w:rFonts w:ascii="Arial" w:hAnsi="Arial" w:hint="default"/>
      </w:rPr>
    </w:lvl>
    <w:lvl w:ilvl="2" w:tplc="9202BB26" w:tentative="1">
      <w:start w:val="1"/>
      <w:numFmt w:val="bullet"/>
      <w:lvlText w:val="•"/>
      <w:lvlJc w:val="left"/>
      <w:pPr>
        <w:tabs>
          <w:tab w:val="num" w:pos="2160"/>
        </w:tabs>
        <w:ind w:left="2160" w:hanging="360"/>
      </w:pPr>
      <w:rPr>
        <w:rFonts w:ascii="Arial" w:hAnsi="Arial" w:hint="default"/>
      </w:rPr>
    </w:lvl>
    <w:lvl w:ilvl="3" w:tplc="269A6FCA" w:tentative="1">
      <w:start w:val="1"/>
      <w:numFmt w:val="bullet"/>
      <w:lvlText w:val="•"/>
      <w:lvlJc w:val="left"/>
      <w:pPr>
        <w:tabs>
          <w:tab w:val="num" w:pos="2880"/>
        </w:tabs>
        <w:ind w:left="2880" w:hanging="360"/>
      </w:pPr>
      <w:rPr>
        <w:rFonts w:ascii="Arial" w:hAnsi="Arial" w:hint="default"/>
      </w:rPr>
    </w:lvl>
    <w:lvl w:ilvl="4" w:tplc="259E7ACE" w:tentative="1">
      <w:start w:val="1"/>
      <w:numFmt w:val="bullet"/>
      <w:lvlText w:val="•"/>
      <w:lvlJc w:val="left"/>
      <w:pPr>
        <w:tabs>
          <w:tab w:val="num" w:pos="3600"/>
        </w:tabs>
        <w:ind w:left="3600" w:hanging="360"/>
      </w:pPr>
      <w:rPr>
        <w:rFonts w:ascii="Arial" w:hAnsi="Arial" w:hint="default"/>
      </w:rPr>
    </w:lvl>
    <w:lvl w:ilvl="5" w:tplc="A82C168C" w:tentative="1">
      <w:start w:val="1"/>
      <w:numFmt w:val="bullet"/>
      <w:lvlText w:val="•"/>
      <w:lvlJc w:val="left"/>
      <w:pPr>
        <w:tabs>
          <w:tab w:val="num" w:pos="4320"/>
        </w:tabs>
        <w:ind w:left="4320" w:hanging="360"/>
      </w:pPr>
      <w:rPr>
        <w:rFonts w:ascii="Arial" w:hAnsi="Arial" w:hint="default"/>
      </w:rPr>
    </w:lvl>
    <w:lvl w:ilvl="6" w:tplc="79E6DB66" w:tentative="1">
      <w:start w:val="1"/>
      <w:numFmt w:val="bullet"/>
      <w:lvlText w:val="•"/>
      <w:lvlJc w:val="left"/>
      <w:pPr>
        <w:tabs>
          <w:tab w:val="num" w:pos="5040"/>
        </w:tabs>
        <w:ind w:left="5040" w:hanging="360"/>
      </w:pPr>
      <w:rPr>
        <w:rFonts w:ascii="Arial" w:hAnsi="Arial" w:hint="default"/>
      </w:rPr>
    </w:lvl>
    <w:lvl w:ilvl="7" w:tplc="6B4E2E08" w:tentative="1">
      <w:start w:val="1"/>
      <w:numFmt w:val="bullet"/>
      <w:lvlText w:val="•"/>
      <w:lvlJc w:val="left"/>
      <w:pPr>
        <w:tabs>
          <w:tab w:val="num" w:pos="5760"/>
        </w:tabs>
        <w:ind w:left="5760" w:hanging="360"/>
      </w:pPr>
      <w:rPr>
        <w:rFonts w:ascii="Arial" w:hAnsi="Arial" w:hint="default"/>
      </w:rPr>
    </w:lvl>
    <w:lvl w:ilvl="8" w:tplc="4C7C8A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E7736"/>
    <w:multiLevelType w:val="hybridMultilevel"/>
    <w:tmpl w:val="3E6E7EFC"/>
    <w:lvl w:ilvl="0" w:tplc="F3D84360">
      <w:start w:val="1"/>
      <w:numFmt w:val="bullet"/>
      <w:lvlText w:val="•"/>
      <w:lvlJc w:val="left"/>
      <w:pPr>
        <w:tabs>
          <w:tab w:val="num" w:pos="720"/>
        </w:tabs>
        <w:ind w:left="720" w:hanging="360"/>
      </w:pPr>
      <w:rPr>
        <w:rFonts w:ascii="Arial" w:hAnsi="Arial" w:hint="default"/>
      </w:rPr>
    </w:lvl>
    <w:lvl w:ilvl="1" w:tplc="3ED60A66" w:tentative="1">
      <w:start w:val="1"/>
      <w:numFmt w:val="bullet"/>
      <w:lvlText w:val="•"/>
      <w:lvlJc w:val="left"/>
      <w:pPr>
        <w:tabs>
          <w:tab w:val="num" w:pos="1440"/>
        </w:tabs>
        <w:ind w:left="1440" w:hanging="360"/>
      </w:pPr>
      <w:rPr>
        <w:rFonts w:ascii="Arial" w:hAnsi="Arial" w:hint="default"/>
      </w:rPr>
    </w:lvl>
    <w:lvl w:ilvl="2" w:tplc="5ED440A2" w:tentative="1">
      <w:start w:val="1"/>
      <w:numFmt w:val="bullet"/>
      <w:lvlText w:val="•"/>
      <w:lvlJc w:val="left"/>
      <w:pPr>
        <w:tabs>
          <w:tab w:val="num" w:pos="2160"/>
        </w:tabs>
        <w:ind w:left="2160" w:hanging="360"/>
      </w:pPr>
      <w:rPr>
        <w:rFonts w:ascii="Arial" w:hAnsi="Arial" w:hint="default"/>
      </w:rPr>
    </w:lvl>
    <w:lvl w:ilvl="3" w:tplc="DB642BE8" w:tentative="1">
      <w:start w:val="1"/>
      <w:numFmt w:val="bullet"/>
      <w:lvlText w:val="•"/>
      <w:lvlJc w:val="left"/>
      <w:pPr>
        <w:tabs>
          <w:tab w:val="num" w:pos="2880"/>
        </w:tabs>
        <w:ind w:left="2880" w:hanging="360"/>
      </w:pPr>
      <w:rPr>
        <w:rFonts w:ascii="Arial" w:hAnsi="Arial" w:hint="default"/>
      </w:rPr>
    </w:lvl>
    <w:lvl w:ilvl="4" w:tplc="E550BF6A" w:tentative="1">
      <w:start w:val="1"/>
      <w:numFmt w:val="bullet"/>
      <w:lvlText w:val="•"/>
      <w:lvlJc w:val="left"/>
      <w:pPr>
        <w:tabs>
          <w:tab w:val="num" w:pos="3600"/>
        </w:tabs>
        <w:ind w:left="3600" w:hanging="360"/>
      </w:pPr>
      <w:rPr>
        <w:rFonts w:ascii="Arial" w:hAnsi="Arial" w:hint="default"/>
      </w:rPr>
    </w:lvl>
    <w:lvl w:ilvl="5" w:tplc="F73C7B72" w:tentative="1">
      <w:start w:val="1"/>
      <w:numFmt w:val="bullet"/>
      <w:lvlText w:val="•"/>
      <w:lvlJc w:val="left"/>
      <w:pPr>
        <w:tabs>
          <w:tab w:val="num" w:pos="4320"/>
        </w:tabs>
        <w:ind w:left="4320" w:hanging="360"/>
      </w:pPr>
      <w:rPr>
        <w:rFonts w:ascii="Arial" w:hAnsi="Arial" w:hint="default"/>
      </w:rPr>
    </w:lvl>
    <w:lvl w:ilvl="6" w:tplc="37FC2A58" w:tentative="1">
      <w:start w:val="1"/>
      <w:numFmt w:val="bullet"/>
      <w:lvlText w:val="•"/>
      <w:lvlJc w:val="left"/>
      <w:pPr>
        <w:tabs>
          <w:tab w:val="num" w:pos="5040"/>
        </w:tabs>
        <w:ind w:left="5040" w:hanging="360"/>
      </w:pPr>
      <w:rPr>
        <w:rFonts w:ascii="Arial" w:hAnsi="Arial" w:hint="default"/>
      </w:rPr>
    </w:lvl>
    <w:lvl w:ilvl="7" w:tplc="BD12DE52" w:tentative="1">
      <w:start w:val="1"/>
      <w:numFmt w:val="bullet"/>
      <w:lvlText w:val="•"/>
      <w:lvlJc w:val="left"/>
      <w:pPr>
        <w:tabs>
          <w:tab w:val="num" w:pos="5760"/>
        </w:tabs>
        <w:ind w:left="5760" w:hanging="360"/>
      </w:pPr>
      <w:rPr>
        <w:rFonts w:ascii="Arial" w:hAnsi="Arial" w:hint="default"/>
      </w:rPr>
    </w:lvl>
    <w:lvl w:ilvl="8" w:tplc="7F102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765BA0"/>
    <w:multiLevelType w:val="hybridMultilevel"/>
    <w:tmpl w:val="951A7FDC"/>
    <w:lvl w:ilvl="0" w:tplc="B468B268">
      <w:start w:val="1"/>
      <w:numFmt w:val="bullet"/>
      <w:lvlText w:val="•"/>
      <w:lvlJc w:val="left"/>
      <w:pPr>
        <w:tabs>
          <w:tab w:val="num" w:pos="720"/>
        </w:tabs>
        <w:ind w:left="720" w:hanging="360"/>
      </w:pPr>
      <w:rPr>
        <w:rFonts w:ascii="Arial" w:hAnsi="Arial" w:hint="default"/>
      </w:rPr>
    </w:lvl>
    <w:lvl w:ilvl="1" w:tplc="E272C2DE" w:tentative="1">
      <w:start w:val="1"/>
      <w:numFmt w:val="bullet"/>
      <w:lvlText w:val="•"/>
      <w:lvlJc w:val="left"/>
      <w:pPr>
        <w:tabs>
          <w:tab w:val="num" w:pos="1440"/>
        </w:tabs>
        <w:ind w:left="1440" w:hanging="360"/>
      </w:pPr>
      <w:rPr>
        <w:rFonts w:ascii="Arial" w:hAnsi="Arial" w:hint="default"/>
      </w:rPr>
    </w:lvl>
    <w:lvl w:ilvl="2" w:tplc="3E280AB4" w:tentative="1">
      <w:start w:val="1"/>
      <w:numFmt w:val="bullet"/>
      <w:lvlText w:val="•"/>
      <w:lvlJc w:val="left"/>
      <w:pPr>
        <w:tabs>
          <w:tab w:val="num" w:pos="2160"/>
        </w:tabs>
        <w:ind w:left="2160" w:hanging="360"/>
      </w:pPr>
      <w:rPr>
        <w:rFonts w:ascii="Arial" w:hAnsi="Arial" w:hint="default"/>
      </w:rPr>
    </w:lvl>
    <w:lvl w:ilvl="3" w:tplc="13700E52" w:tentative="1">
      <w:start w:val="1"/>
      <w:numFmt w:val="bullet"/>
      <w:lvlText w:val="•"/>
      <w:lvlJc w:val="left"/>
      <w:pPr>
        <w:tabs>
          <w:tab w:val="num" w:pos="2880"/>
        </w:tabs>
        <w:ind w:left="2880" w:hanging="360"/>
      </w:pPr>
      <w:rPr>
        <w:rFonts w:ascii="Arial" w:hAnsi="Arial" w:hint="default"/>
      </w:rPr>
    </w:lvl>
    <w:lvl w:ilvl="4" w:tplc="D5247704" w:tentative="1">
      <w:start w:val="1"/>
      <w:numFmt w:val="bullet"/>
      <w:lvlText w:val="•"/>
      <w:lvlJc w:val="left"/>
      <w:pPr>
        <w:tabs>
          <w:tab w:val="num" w:pos="3600"/>
        </w:tabs>
        <w:ind w:left="3600" w:hanging="360"/>
      </w:pPr>
      <w:rPr>
        <w:rFonts w:ascii="Arial" w:hAnsi="Arial" w:hint="default"/>
      </w:rPr>
    </w:lvl>
    <w:lvl w:ilvl="5" w:tplc="65F4DFDE" w:tentative="1">
      <w:start w:val="1"/>
      <w:numFmt w:val="bullet"/>
      <w:lvlText w:val="•"/>
      <w:lvlJc w:val="left"/>
      <w:pPr>
        <w:tabs>
          <w:tab w:val="num" w:pos="4320"/>
        </w:tabs>
        <w:ind w:left="4320" w:hanging="360"/>
      </w:pPr>
      <w:rPr>
        <w:rFonts w:ascii="Arial" w:hAnsi="Arial" w:hint="default"/>
      </w:rPr>
    </w:lvl>
    <w:lvl w:ilvl="6" w:tplc="F8962182" w:tentative="1">
      <w:start w:val="1"/>
      <w:numFmt w:val="bullet"/>
      <w:lvlText w:val="•"/>
      <w:lvlJc w:val="left"/>
      <w:pPr>
        <w:tabs>
          <w:tab w:val="num" w:pos="5040"/>
        </w:tabs>
        <w:ind w:left="5040" w:hanging="360"/>
      </w:pPr>
      <w:rPr>
        <w:rFonts w:ascii="Arial" w:hAnsi="Arial" w:hint="default"/>
      </w:rPr>
    </w:lvl>
    <w:lvl w:ilvl="7" w:tplc="C47690D6" w:tentative="1">
      <w:start w:val="1"/>
      <w:numFmt w:val="bullet"/>
      <w:lvlText w:val="•"/>
      <w:lvlJc w:val="left"/>
      <w:pPr>
        <w:tabs>
          <w:tab w:val="num" w:pos="5760"/>
        </w:tabs>
        <w:ind w:left="5760" w:hanging="360"/>
      </w:pPr>
      <w:rPr>
        <w:rFonts w:ascii="Arial" w:hAnsi="Arial" w:hint="default"/>
      </w:rPr>
    </w:lvl>
    <w:lvl w:ilvl="8" w:tplc="CB5C3B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220526"/>
    <w:multiLevelType w:val="hybridMultilevel"/>
    <w:tmpl w:val="401E1CD0"/>
    <w:lvl w:ilvl="0" w:tplc="BE0EBCE8">
      <w:start w:val="1"/>
      <w:numFmt w:val="bullet"/>
      <w:lvlText w:val="•"/>
      <w:lvlJc w:val="left"/>
      <w:pPr>
        <w:tabs>
          <w:tab w:val="num" w:pos="720"/>
        </w:tabs>
        <w:ind w:left="720" w:hanging="360"/>
      </w:pPr>
      <w:rPr>
        <w:rFonts w:ascii="Arial" w:hAnsi="Arial" w:hint="default"/>
      </w:rPr>
    </w:lvl>
    <w:lvl w:ilvl="1" w:tplc="C054CA6E" w:tentative="1">
      <w:start w:val="1"/>
      <w:numFmt w:val="bullet"/>
      <w:lvlText w:val="•"/>
      <w:lvlJc w:val="left"/>
      <w:pPr>
        <w:tabs>
          <w:tab w:val="num" w:pos="1440"/>
        </w:tabs>
        <w:ind w:left="1440" w:hanging="360"/>
      </w:pPr>
      <w:rPr>
        <w:rFonts w:ascii="Arial" w:hAnsi="Arial" w:hint="default"/>
      </w:rPr>
    </w:lvl>
    <w:lvl w:ilvl="2" w:tplc="639247A0" w:tentative="1">
      <w:start w:val="1"/>
      <w:numFmt w:val="bullet"/>
      <w:lvlText w:val="•"/>
      <w:lvlJc w:val="left"/>
      <w:pPr>
        <w:tabs>
          <w:tab w:val="num" w:pos="2160"/>
        </w:tabs>
        <w:ind w:left="2160" w:hanging="360"/>
      </w:pPr>
      <w:rPr>
        <w:rFonts w:ascii="Arial" w:hAnsi="Arial" w:hint="default"/>
      </w:rPr>
    </w:lvl>
    <w:lvl w:ilvl="3" w:tplc="20D865E6" w:tentative="1">
      <w:start w:val="1"/>
      <w:numFmt w:val="bullet"/>
      <w:lvlText w:val="•"/>
      <w:lvlJc w:val="left"/>
      <w:pPr>
        <w:tabs>
          <w:tab w:val="num" w:pos="2880"/>
        </w:tabs>
        <w:ind w:left="2880" w:hanging="360"/>
      </w:pPr>
      <w:rPr>
        <w:rFonts w:ascii="Arial" w:hAnsi="Arial" w:hint="default"/>
      </w:rPr>
    </w:lvl>
    <w:lvl w:ilvl="4" w:tplc="BB88DA0E" w:tentative="1">
      <w:start w:val="1"/>
      <w:numFmt w:val="bullet"/>
      <w:lvlText w:val="•"/>
      <w:lvlJc w:val="left"/>
      <w:pPr>
        <w:tabs>
          <w:tab w:val="num" w:pos="3600"/>
        </w:tabs>
        <w:ind w:left="3600" w:hanging="360"/>
      </w:pPr>
      <w:rPr>
        <w:rFonts w:ascii="Arial" w:hAnsi="Arial" w:hint="default"/>
      </w:rPr>
    </w:lvl>
    <w:lvl w:ilvl="5" w:tplc="DF3ECCBC" w:tentative="1">
      <w:start w:val="1"/>
      <w:numFmt w:val="bullet"/>
      <w:lvlText w:val="•"/>
      <w:lvlJc w:val="left"/>
      <w:pPr>
        <w:tabs>
          <w:tab w:val="num" w:pos="4320"/>
        </w:tabs>
        <w:ind w:left="4320" w:hanging="360"/>
      </w:pPr>
      <w:rPr>
        <w:rFonts w:ascii="Arial" w:hAnsi="Arial" w:hint="default"/>
      </w:rPr>
    </w:lvl>
    <w:lvl w:ilvl="6" w:tplc="F808CEB2" w:tentative="1">
      <w:start w:val="1"/>
      <w:numFmt w:val="bullet"/>
      <w:lvlText w:val="•"/>
      <w:lvlJc w:val="left"/>
      <w:pPr>
        <w:tabs>
          <w:tab w:val="num" w:pos="5040"/>
        </w:tabs>
        <w:ind w:left="5040" w:hanging="360"/>
      </w:pPr>
      <w:rPr>
        <w:rFonts w:ascii="Arial" w:hAnsi="Arial" w:hint="default"/>
      </w:rPr>
    </w:lvl>
    <w:lvl w:ilvl="7" w:tplc="1FE06082" w:tentative="1">
      <w:start w:val="1"/>
      <w:numFmt w:val="bullet"/>
      <w:lvlText w:val="•"/>
      <w:lvlJc w:val="left"/>
      <w:pPr>
        <w:tabs>
          <w:tab w:val="num" w:pos="5760"/>
        </w:tabs>
        <w:ind w:left="5760" w:hanging="360"/>
      </w:pPr>
      <w:rPr>
        <w:rFonts w:ascii="Arial" w:hAnsi="Arial" w:hint="default"/>
      </w:rPr>
    </w:lvl>
    <w:lvl w:ilvl="8" w:tplc="DD6024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3C53EB"/>
    <w:multiLevelType w:val="hybridMultilevel"/>
    <w:tmpl w:val="6742E3BE"/>
    <w:lvl w:ilvl="0" w:tplc="9D30D434">
      <w:start w:val="1"/>
      <w:numFmt w:val="bullet"/>
      <w:lvlText w:val="•"/>
      <w:lvlJc w:val="left"/>
      <w:pPr>
        <w:tabs>
          <w:tab w:val="num" w:pos="720"/>
        </w:tabs>
        <w:ind w:left="720" w:hanging="360"/>
      </w:pPr>
      <w:rPr>
        <w:rFonts w:ascii="Arial" w:hAnsi="Arial" w:hint="default"/>
      </w:rPr>
    </w:lvl>
    <w:lvl w:ilvl="1" w:tplc="57A029B8" w:tentative="1">
      <w:start w:val="1"/>
      <w:numFmt w:val="bullet"/>
      <w:lvlText w:val="•"/>
      <w:lvlJc w:val="left"/>
      <w:pPr>
        <w:tabs>
          <w:tab w:val="num" w:pos="1440"/>
        </w:tabs>
        <w:ind w:left="1440" w:hanging="360"/>
      </w:pPr>
      <w:rPr>
        <w:rFonts w:ascii="Arial" w:hAnsi="Arial" w:hint="default"/>
      </w:rPr>
    </w:lvl>
    <w:lvl w:ilvl="2" w:tplc="C1DEE490" w:tentative="1">
      <w:start w:val="1"/>
      <w:numFmt w:val="bullet"/>
      <w:lvlText w:val="•"/>
      <w:lvlJc w:val="left"/>
      <w:pPr>
        <w:tabs>
          <w:tab w:val="num" w:pos="2160"/>
        </w:tabs>
        <w:ind w:left="2160" w:hanging="360"/>
      </w:pPr>
      <w:rPr>
        <w:rFonts w:ascii="Arial" w:hAnsi="Arial" w:hint="default"/>
      </w:rPr>
    </w:lvl>
    <w:lvl w:ilvl="3" w:tplc="E8F6CAB0" w:tentative="1">
      <w:start w:val="1"/>
      <w:numFmt w:val="bullet"/>
      <w:lvlText w:val="•"/>
      <w:lvlJc w:val="left"/>
      <w:pPr>
        <w:tabs>
          <w:tab w:val="num" w:pos="2880"/>
        </w:tabs>
        <w:ind w:left="2880" w:hanging="360"/>
      </w:pPr>
      <w:rPr>
        <w:rFonts w:ascii="Arial" w:hAnsi="Arial" w:hint="default"/>
      </w:rPr>
    </w:lvl>
    <w:lvl w:ilvl="4" w:tplc="814A8A5C" w:tentative="1">
      <w:start w:val="1"/>
      <w:numFmt w:val="bullet"/>
      <w:lvlText w:val="•"/>
      <w:lvlJc w:val="left"/>
      <w:pPr>
        <w:tabs>
          <w:tab w:val="num" w:pos="3600"/>
        </w:tabs>
        <w:ind w:left="3600" w:hanging="360"/>
      </w:pPr>
      <w:rPr>
        <w:rFonts w:ascii="Arial" w:hAnsi="Arial" w:hint="default"/>
      </w:rPr>
    </w:lvl>
    <w:lvl w:ilvl="5" w:tplc="54163D7E" w:tentative="1">
      <w:start w:val="1"/>
      <w:numFmt w:val="bullet"/>
      <w:lvlText w:val="•"/>
      <w:lvlJc w:val="left"/>
      <w:pPr>
        <w:tabs>
          <w:tab w:val="num" w:pos="4320"/>
        </w:tabs>
        <w:ind w:left="4320" w:hanging="360"/>
      </w:pPr>
      <w:rPr>
        <w:rFonts w:ascii="Arial" w:hAnsi="Arial" w:hint="default"/>
      </w:rPr>
    </w:lvl>
    <w:lvl w:ilvl="6" w:tplc="8BAA6A20" w:tentative="1">
      <w:start w:val="1"/>
      <w:numFmt w:val="bullet"/>
      <w:lvlText w:val="•"/>
      <w:lvlJc w:val="left"/>
      <w:pPr>
        <w:tabs>
          <w:tab w:val="num" w:pos="5040"/>
        </w:tabs>
        <w:ind w:left="5040" w:hanging="360"/>
      </w:pPr>
      <w:rPr>
        <w:rFonts w:ascii="Arial" w:hAnsi="Arial" w:hint="default"/>
      </w:rPr>
    </w:lvl>
    <w:lvl w:ilvl="7" w:tplc="E97A9A34" w:tentative="1">
      <w:start w:val="1"/>
      <w:numFmt w:val="bullet"/>
      <w:lvlText w:val="•"/>
      <w:lvlJc w:val="left"/>
      <w:pPr>
        <w:tabs>
          <w:tab w:val="num" w:pos="5760"/>
        </w:tabs>
        <w:ind w:left="5760" w:hanging="360"/>
      </w:pPr>
      <w:rPr>
        <w:rFonts w:ascii="Arial" w:hAnsi="Arial" w:hint="default"/>
      </w:rPr>
    </w:lvl>
    <w:lvl w:ilvl="8" w:tplc="58DA0C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D54D7A"/>
    <w:multiLevelType w:val="hybridMultilevel"/>
    <w:tmpl w:val="F7949E6A"/>
    <w:lvl w:ilvl="0" w:tplc="E35A7FDE">
      <w:start w:val="1"/>
      <w:numFmt w:val="bullet"/>
      <w:lvlText w:val="•"/>
      <w:lvlJc w:val="left"/>
      <w:pPr>
        <w:tabs>
          <w:tab w:val="num" w:pos="720"/>
        </w:tabs>
        <w:ind w:left="720" w:hanging="360"/>
      </w:pPr>
      <w:rPr>
        <w:rFonts w:ascii="Arial" w:hAnsi="Arial" w:hint="default"/>
      </w:rPr>
    </w:lvl>
    <w:lvl w:ilvl="1" w:tplc="0E4AA948" w:tentative="1">
      <w:start w:val="1"/>
      <w:numFmt w:val="bullet"/>
      <w:lvlText w:val="•"/>
      <w:lvlJc w:val="left"/>
      <w:pPr>
        <w:tabs>
          <w:tab w:val="num" w:pos="1440"/>
        </w:tabs>
        <w:ind w:left="1440" w:hanging="360"/>
      </w:pPr>
      <w:rPr>
        <w:rFonts w:ascii="Arial" w:hAnsi="Arial" w:hint="default"/>
      </w:rPr>
    </w:lvl>
    <w:lvl w:ilvl="2" w:tplc="B742D924" w:tentative="1">
      <w:start w:val="1"/>
      <w:numFmt w:val="bullet"/>
      <w:lvlText w:val="•"/>
      <w:lvlJc w:val="left"/>
      <w:pPr>
        <w:tabs>
          <w:tab w:val="num" w:pos="2160"/>
        </w:tabs>
        <w:ind w:left="2160" w:hanging="360"/>
      </w:pPr>
      <w:rPr>
        <w:rFonts w:ascii="Arial" w:hAnsi="Arial" w:hint="default"/>
      </w:rPr>
    </w:lvl>
    <w:lvl w:ilvl="3" w:tplc="F91AE00E" w:tentative="1">
      <w:start w:val="1"/>
      <w:numFmt w:val="bullet"/>
      <w:lvlText w:val="•"/>
      <w:lvlJc w:val="left"/>
      <w:pPr>
        <w:tabs>
          <w:tab w:val="num" w:pos="2880"/>
        </w:tabs>
        <w:ind w:left="2880" w:hanging="360"/>
      </w:pPr>
      <w:rPr>
        <w:rFonts w:ascii="Arial" w:hAnsi="Arial" w:hint="default"/>
      </w:rPr>
    </w:lvl>
    <w:lvl w:ilvl="4" w:tplc="249CD274" w:tentative="1">
      <w:start w:val="1"/>
      <w:numFmt w:val="bullet"/>
      <w:lvlText w:val="•"/>
      <w:lvlJc w:val="left"/>
      <w:pPr>
        <w:tabs>
          <w:tab w:val="num" w:pos="3600"/>
        </w:tabs>
        <w:ind w:left="3600" w:hanging="360"/>
      </w:pPr>
      <w:rPr>
        <w:rFonts w:ascii="Arial" w:hAnsi="Arial" w:hint="default"/>
      </w:rPr>
    </w:lvl>
    <w:lvl w:ilvl="5" w:tplc="562659B4" w:tentative="1">
      <w:start w:val="1"/>
      <w:numFmt w:val="bullet"/>
      <w:lvlText w:val="•"/>
      <w:lvlJc w:val="left"/>
      <w:pPr>
        <w:tabs>
          <w:tab w:val="num" w:pos="4320"/>
        </w:tabs>
        <w:ind w:left="4320" w:hanging="360"/>
      </w:pPr>
      <w:rPr>
        <w:rFonts w:ascii="Arial" w:hAnsi="Arial" w:hint="default"/>
      </w:rPr>
    </w:lvl>
    <w:lvl w:ilvl="6" w:tplc="E104D416" w:tentative="1">
      <w:start w:val="1"/>
      <w:numFmt w:val="bullet"/>
      <w:lvlText w:val="•"/>
      <w:lvlJc w:val="left"/>
      <w:pPr>
        <w:tabs>
          <w:tab w:val="num" w:pos="5040"/>
        </w:tabs>
        <w:ind w:left="5040" w:hanging="360"/>
      </w:pPr>
      <w:rPr>
        <w:rFonts w:ascii="Arial" w:hAnsi="Arial" w:hint="default"/>
      </w:rPr>
    </w:lvl>
    <w:lvl w:ilvl="7" w:tplc="F2BA6F62" w:tentative="1">
      <w:start w:val="1"/>
      <w:numFmt w:val="bullet"/>
      <w:lvlText w:val="•"/>
      <w:lvlJc w:val="left"/>
      <w:pPr>
        <w:tabs>
          <w:tab w:val="num" w:pos="5760"/>
        </w:tabs>
        <w:ind w:left="5760" w:hanging="360"/>
      </w:pPr>
      <w:rPr>
        <w:rFonts w:ascii="Arial" w:hAnsi="Arial" w:hint="default"/>
      </w:rPr>
    </w:lvl>
    <w:lvl w:ilvl="8" w:tplc="8FC4E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B8158F"/>
    <w:multiLevelType w:val="hybridMultilevel"/>
    <w:tmpl w:val="8F22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87207"/>
    <w:multiLevelType w:val="hybridMultilevel"/>
    <w:tmpl w:val="748A36D0"/>
    <w:lvl w:ilvl="0" w:tplc="1E74CDB8">
      <w:start w:val="1"/>
      <w:numFmt w:val="bullet"/>
      <w:lvlText w:val="•"/>
      <w:lvlJc w:val="left"/>
      <w:pPr>
        <w:tabs>
          <w:tab w:val="num" w:pos="720"/>
        </w:tabs>
        <w:ind w:left="720" w:hanging="360"/>
      </w:pPr>
      <w:rPr>
        <w:rFonts w:ascii="Arial" w:hAnsi="Arial" w:hint="default"/>
      </w:rPr>
    </w:lvl>
    <w:lvl w:ilvl="1" w:tplc="CC36C5EE" w:tentative="1">
      <w:start w:val="1"/>
      <w:numFmt w:val="bullet"/>
      <w:lvlText w:val="•"/>
      <w:lvlJc w:val="left"/>
      <w:pPr>
        <w:tabs>
          <w:tab w:val="num" w:pos="1440"/>
        </w:tabs>
        <w:ind w:left="1440" w:hanging="360"/>
      </w:pPr>
      <w:rPr>
        <w:rFonts w:ascii="Arial" w:hAnsi="Arial" w:hint="default"/>
      </w:rPr>
    </w:lvl>
    <w:lvl w:ilvl="2" w:tplc="F7AE84A8" w:tentative="1">
      <w:start w:val="1"/>
      <w:numFmt w:val="bullet"/>
      <w:lvlText w:val="•"/>
      <w:lvlJc w:val="left"/>
      <w:pPr>
        <w:tabs>
          <w:tab w:val="num" w:pos="2160"/>
        </w:tabs>
        <w:ind w:left="2160" w:hanging="360"/>
      </w:pPr>
      <w:rPr>
        <w:rFonts w:ascii="Arial" w:hAnsi="Arial" w:hint="default"/>
      </w:rPr>
    </w:lvl>
    <w:lvl w:ilvl="3" w:tplc="B2588F6E" w:tentative="1">
      <w:start w:val="1"/>
      <w:numFmt w:val="bullet"/>
      <w:lvlText w:val="•"/>
      <w:lvlJc w:val="left"/>
      <w:pPr>
        <w:tabs>
          <w:tab w:val="num" w:pos="2880"/>
        </w:tabs>
        <w:ind w:left="2880" w:hanging="360"/>
      </w:pPr>
      <w:rPr>
        <w:rFonts w:ascii="Arial" w:hAnsi="Arial" w:hint="default"/>
      </w:rPr>
    </w:lvl>
    <w:lvl w:ilvl="4" w:tplc="F1F619DA" w:tentative="1">
      <w:start w:val="1"/>
      <w:numFmt w:val="bullet"/>
      <w:lvlText w:val="•"/>
      <w:lvlJc w:val="left"/>
      <w:pPr>
        <w:tabs>
          <w:tab w:val="num" w:pos="3600"/>
        </w:tabs>
        <w:ind w:left="3600" w:hanging="360"/>
      </w:pPr>
      <w:rPr>
        <w:rFonts w:ascii="Arial" w:hAnsi="Arial" w:hint="default"/>
      </w:rPr>
    </w:lvl>
    <w:lvl w:ilvl="5" w:tplc="3C225DD2" w:tentative="1">
      <w:start w:val="1"/>
      <w:numFmt w:val="bullet"/>
      <w:lvlText w:val="•"/>
      <w:lvlJc w:val="left"/>
      <w:pPr>
        <w:tabs>
          <w:tab w:val="num" w:pos="4320"/>
        </w:tabs>
        <w:ind w:left="4320" w:hanging="360"/>
      </w:pPr>
      <w:rPr>
        <w:rFonts w:ascii="Arial" w:hAnsi="Arial" w:hint="default"/>
      </w:rPr>
    </w:lvl>
    <w:lvl w:ilvl="6" w:tplc="BE5E9608" w:tentative="1">
      <w:start w:val="1"/>
      <w:numFmt w:val="bullet"/>
      <w:lvlText w:val="•"/>
      <w:lvlJc w:val="left"/>
      <w:pPr>
        <w:tabs>
          <w:tab w:val="num" w:pos="5040"/>
        </w:tabs>
        <w:ind w:left="5040" w:hanging="360"/>
      </w:pPr>
      <w:rPr>
        <w:rFonts w:ascii="Arial" w:hAnsi="Arial" w:hint="default"/>
      </w:rPr>
    </w:lvl>
    <w:lvl w:ilvl="7" w:tplc="1A7437E6" w:tentative="1">
      <w:start w:val="1"/>
      <w:numFmt w:val="bullet"/>
      <w:lvlText w:val="•"/>
      <w:lvlJc w:val="left"/>
      <w:pPr>
        <w:tabs>
          <w:tab w:val="num" w:pos="5760"/>
        </w:tabs>
        <w:ind w:left="5760" w:hanging="360"/>
      </w:pPr>
      <w:rPr>
        <w:rFonts w:ascii="Arial" w:hAnsi="Arial" w:hint="default"/>
      </w:rPr>
    </w:lvl>
    <w:lvl w:ilvl="8" w:tplc="EE34C0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60A81"/>
    <w:multiLevelType w:val="hybridMultilevel"/>
    <w:tmpl w:val="58263E10"/>
    <w:lvl w:ilvl="0" w:tplc="788866A6">
      <w:start w:val="1"/>
      <w:numFmt w:val="bullet"/>
      <w:lvlText w:val="•"/>
      <w:lvlJc w:val="left"/>
      <w:pPr>
        <w:tabs>
          <w:tab w:val="num" w:pos="720"/>
        </w:tabs>
        <w:ind w:left="720" w:hanging="360"/>
      </w:pPr>
      <w:rPr>
        <w:rFonts w:ascii="Arial" w:hAnsi="Arial" w:hint="default"/>
      </w:rPr>
    </w:lvl>
    <w:lvl w:ilvl="1" w:tplc="554CC2AC" w:tentative="1">
      <w:start w:val="1"/>
      <w:numFmt w:val="bullet"/>
      <w:lvlText w:val="•"/>
      <w:lvlJc w:val="left"/>
      <w:pPr>
        <w:tabs>
          <w:tab w:val="num" w:pos="1440"/>
        </w:tabs>
        <w:ind w:left="1440" w:hanging="360"/>
      </w:pPr>
      <w:rPr>
        <w:rFonts w:ascii="Arial" w:hAnsi="Arial" w:hint="default"/>
      </w:rPr>
    </w:lvl>
    <w:lvl w:ilvl="2" w:tplc="B70CDEE0" w:tentative="1">
      <w:start w:val="1"/>
      <w:numFmt w:val="bullet"/>
      <w:lvlText w:val="•"/>
      <w:lvlJc w:val="left"/>
      <w:pPr>
        <w:tabs>
          <w:tab w:val="num" w:pos="2160"/>
        </w:tabs>
        <w:ind w:left="2160" w:hanging="360"/>
      </w:pPr>
      <w:rPr>
        <w:rFonts w:ascii="Arial" w:hAnsi="Arial" w:hint="default"/>
      </w:rPr>
    </w:lvl>
    <w:lvl w:ilvl="3" w:tplc="C28E589A" w:tentative="1">
      <w:start w:val="1"/>
      <w:numFmt w:val="bullet"/>
      <w:lvlText w:val="•"/>
      <w:lvlJc w:val="left"/>
      <w:pPr>
        <w:tabs>
          <w:tab w:val="num" w:pos="2880"/>
        </w:tabs>
        <w:ind w:left="2880" w:hanging="360"/>
      </w:pPr>
      <w:rPr>
        <w:rFonts w:ascii="Arial" w:hAnsi="Arial" w:hint="default"/>
      </w:rPr>
    </w:lvl>
    <w:lvl w:ilvl="4" w:tplc="8C66CBCC" w:tentative="1">
      <w:start w:val="1"/>
      <w:numFmt w:val="bullet"/>
      <w:lvlText w:val="•"/>
      <w:lvlJc w:val="left"/>
      <w:pPr>
        <w:tabs>
          <w:tab w:val="num" w:pos="3600"/>
        </w:tabs>
        <w:ind w:left="3600" w:hanging="360"/>
      </w:pPr>
      <w:rPr>
        <w:rFonts w:ascii="Arial" w:hAnsi="Arial" w:hint="default"/>
      </w:rPr>
    </w:lvl>
    <w:lvl w:ilvl="5" w:tplc="CCC05CBE" w:tentative="1">
      <w:start w:val="1"/>
      <w:numFmt w:val="bullet"/>
      <w:lvlText w:val="•"/>
      <w:lvlJc w:val="left"/>
      <w:pPr>
        <w:tabs>
          <w:tab w:val="num" w:pos="4320"/>
        </w:tabs>
        <w:ind w:left="4320" w:hanging="360"/>
      </w:pPr>
      <w:rPr>
        <w:rFonts w:ascii="Arial" w:hAnsi="Arial" w:hint="default"/>
      </w:rPr>
    </w:lvl>
    <w:lvl w:ilvl="6" w:tplc="5C9EB436" w:tentative="1">
      <w:start w:val="1"/>
      <w:numFmt w:val="bullet"/>
      <w:lvlText w:val="•"/>
      <w:lvlJc w:val="left"/>
      <w:pPr>
        <w:tabs>
          <w:tab w:val="num" w:pos="5040"/>
        </w:tabs>
        <w:ind w:left="5040" w:hanging="360"/>
      </w:pPr>
      <w:rPr>
        <w:rFonts w:ascii="Arial" w:hAnsi="Arial" w:hint="default"/>
      </w:rPr>
    </w:lvl>
    <w:lvl w:ilvl="7" w:tplc="FADC92B0" w:tentative="1">
      <w:start w:val="1"/>
      <w:numFmt w:val="bullet"/>
      <w:lvlText w:val="•"/>
      <w:lvlJc w:val="left"/>
      <w:pPr>
        <w:tabs>
          <w:tab w:val="num" w:pos="5760"/>
        </w:tabs>
        <w:ind w:left="5760" w:hanging="360"/>
      </w:pPr>
      <w:rPr>
        <w:rFonts w:ascii="Arial" w:hAnsi="Arial" w:hint="default"/>
      </w:rPr>
    </w:lvl>
    <w:lvl w:ilvl="8" w:tplc="E6A4C4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93E6C"/>
    <w:multiLevelType w:val="hybridMultilevel"/>
    <w:tmpl w:val="F5601B3C"/>
    <w:lvl w:ilvl="0" w:tplc="1812C0C8">
      <w:start w:val="1"/>
      <w:numFmt w:val="bullet"/>
      <w:lvlText w:val="-"/>
      <w:lvlJc w:val="left"/>
      <w:pPr>
        <w:tabs>
          <w:tab w:val="num" w:pos="720"/>
        </w:tabs>
        <w:ind w:left="720" w:hanging="360"/>
      </w:pPr>
      <w:rPr>
        <w:rFonts w:ascii="Times New Roman" w:hAnsi="Times New Roman" w:hint="default"/>
      </w:rPr>
    </w:lvl>
    <w:lvl w:ilvl="1" w:tplc="5D6A2E9E" w:tentative="1">
      <w:start w:val="1"/>
      <w:numFmt w:val="bullet"/>
      <w:lvlText w:val="-"/>
      <w:lvlJc w:val="left"/>
      <w:pPr>
        <w:tabs>
          <w:tab w:val="num" w:pos="1440"/>
        </w:tabs>
        <w:ind w:left="1440" w:hanging="360"/>
      </w:pPr>
      <w:rPr>
        <w:rFonts w:ascii="Times New Roman" w:hAnsi="Times New Roman" w:hint="default"/>
      </w:rPr>
    </w:lvl>
    <w:lvl w:ilvl="2" w:tplc="CA0A9EC0" w:tentative="1">
      <w:start w:val="1"/>
      <w:numFmt w:val="bullet"/>
      <w:lvlText w:val="-"/>
      <w:lvlJc w:val="left"/>
      <w:pPr>
        <w:tabs>
          <w:tab w:val="num" w:pos="2160"/>
        </w:tabs>
        <w:ind w:left="2160" w:hanging="360"/>
      </w:pPr>
      <w:rPr>
        <w:rFonts w:ascii="Times New Roman" w:hAnsi="Times New Roman" w:hint="default"/>
      </w:rPr>
    </w:lvl>
    <w:lvl w:ilvl="3" w:tplc="D25CC0E0" w:tentative="1">
      <w:start w:val="1"/>
      <w:numFmt w:val="bullet"/>
      <w:lvlText w:val="-"/>
      <w:lvlJc w:val="left"/>
      <w:pPr>
        <w:tabs>
          <w:tab w:val="num" w:pos="2880"/>
        </w:tabs>
        <w:ind w:left="2880" w:hanging="360"/>
      </w:pPr>
      <w:rPr>
        <w:rFonts w:ascii="Times New Roman" w:hAnsi="Times New Roman" w:hint="default"/>
      </w:rPr>
    </w:lvl>
    <w:lvl w:ilvl="4" w:tplc="DD58241E" w:tentative="1">
      <w:start w:val="1"/>
      <w:numFmt w:val="bullet"/>
      <w:lvlText w:val="-"/>
      <w:lvlJc w:val="left"/>
      <w:pPr>
        <w:tabs>
          <w:tab w:val="num" w:pos="3600"/>
        </w:tabs>
        <w:ind w:left="3600" w:hanging="360"/>
      </w:pPr>
      <w:rPr>
        <w:rFonts w:ascii="Times New Roman" w:hAnsi="Times New Roman" w:hint="default"/>
      </w:rPr>
    </w:lvl>
    <w:lvl w:ilvl="5" w:tplc="F45C0F04" w:tentative="1">
      <w:start w:val="1"/>
      <w:numFmt w:val="bullet"/>
      <w:lvlText w:val="-"/>
      <w:lvlJc w:val="left"/>
      <w:pPr>
        <w:tabs>
          <w:tab w:val="num" w:pos="4320"/>
        </w:tabs>
        <w:ind w:left="4320" w:hanging="360"/>
      </w:pPr>
      <w:rPr>
        <w:rFonts w:ascii="Times New Roman" w:hAnsi="Times New Roman" w:hint="default"/>
      </w:rPr>
    </w:lvl>
    <w:lvl w:ilvl="6" w:tplc="62D4E51C" w:tentative="1">
      <w:start w:val="1"/>
      <w:numFmt w:val="bullet"/>
      <w:lvlText w:val="-"/>
      <w:lvlJc w:val="left"/>
      <w:pPr>
        <w:tabs>
          <w:tab w:val="num" w:pos="5040"/>
        </w:tabs>
        <w:ind w:left="5040" w:hanging="360"/>
      </w:pPr>
      <w:rPr>
        <w:rFonts w:ascii="Times New Roman" w:hAnsi="Times New Roman" w:hint="default"/>
      </w:rPr>
    </w:lvl>
    <w:lvl w:ilvl="7" w:tplc="1DBC2828" w:tentative="1">
      <w:start w:val="1"/>
      <w:numFmt w:val="bullet"/>
      <w:lvlText w:val="-"/>
      <w:lvlJc w:val="left"/>
      <w:pPr>
        <w:tabs>
          <w:tab w:val="num" w:pos="5760"/>
        </w:tabs>
        <w:ind w:left="5760" w:hanging="360"/>
      </w:pPr>
      <w:rPr>
        <w:rFonts w:ascii="Times New Roman" w:hAnsi="Times New Roman" w:hint="default"/>
      </w:rPr>
    </w:lvl>
    <w:lvl w:ilvl="8" w:tplc="F5D6BC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852F68"/>
    <w:multiLevelType w:val="hybridMultilevel"/>
    <w:tmpl w:val="D8FCDF88"/>
    <w:lvl w:ilvl="0" w:tplc="2132DE18">
      <w:start w:val="1"/>
      <w:numFmt w:val="lowerLetter"/>
      <w:lvlText w:val="%1)"/>
      <w:lvlJc w:val="left"/>
      <w:pPr>
        <w:tabs>
          <w:tab w:val="num" w:pos="720"/>
        </w:tabs>
        <w:ind w:left="720" w:hanging="360"/>
      </w:pPr>
    </w:lvl>
    <w:lvl w:ilvl="1" w:tplc="E3B2E842" w:tentative="1">
      <w:start w:val="1"/>
      <w:numFmt w:val="lowerLetter"/>
      <w:lvlText w:val="%2)"/>
      <w:lvlJc w:val="left"/>
      <w:pPr>
        <w:tabs>
          <w:tab w:val="num" w:pos="1440"/>
        </w:tabs>
        <w:ind w:left="1440" w:hanging="360"/>
      </w:pPr>
    </w:lvl>
    <w:lvl w:ilvl="2" w:tplc="BEB489F2" w:tentative="1">
      <w:start w:val="1"/>
      <w:numFmt w:val="lowerLetter"/>
      <w:lvlText w:val="%3)"/>
      <w:lvlJc w:val="left"/>
      <w:pPr>
        <w:tabs>
          <w:tab w:val="num" w:pos="2160"/>
        </w:tabs>
        <w:ind w:left="2160" w:hanging="360"/>
      </w:pPr>
    </w:lvl>
    <w:lvl w:ilvl="3" w:tplc="7D5E115E" w:tentative="1">
      <w:start w:val="1"/>
      <w:numFmt w:val="lowerLetter"/>
      <w:lvlText w:val="%4)"/>
      <w:lvlJc w:val="left"/>
      <w:pPr>
        <w:tabs>
          <w:tab w:val="num" w:pos="2880"/>
        </w:tabs>
        <w:ind w:left="2880" w:hanging="360"/>
      </w:pPr>
    </w:lvl>
    <w:lvl w:ilvl="4" w:tplc="C5BA1480" w:tentative="1">
      <w:start w:val="1"/>
      <w:numFmt w:val="lowerLetter"/>
      <w:lvlText w:val="%5)"/>
      <w:lvlJc w:val="left"/>
      <w:pPr>
        <w:tabs>
          <w:tab w:val="num" w:pos="3600"/>
        </w:tabs>
        <w:ind w:left="3600" w:hanging="360"/>
      </w:pPr>
    </w:lvl>
    <w:lvl w:ilvl="5" w:tplc="E20EF198" w:tentative="1">
      <w:start w:val="1"/>
      <w:numFmt w:val="lowerLetter"/>
      <w:lvlText w:val="%6)"/>
      <w:lvlJc w:val="left"/>
      <w:pPr>
        <w:tabs>
          <w:tab w:val="num" w:pos="4320"/>
        </w:tabs>
        <w:ind w:left="4320" w:hanging="360"/>
      </w:pPr>
    </w:lvl>
    <w:lvl w:ilvl="6" w:tplc="0CB828E6" w:tentative="1">
      <w:start w:val="1"/>
      <w:numFmt w:val="lowerLetter"/>
      <w:lvlText w:val="%7)"/>
      <w:lvlJc w:val="left"/>
      <w:pPr>
        <w:tabs>
          <w:tab w:val="num" w:pos="5040"/>
        </w:tabs>
        <w:ind w:left="5040" w:hanging="360"/>
      </w:pPr>
    </w:lvl>
    <w:lvl w:ilvl="7" w:tplc="6A4ECE10" w:tentative="1">
      <w:start w:val="1"/>
      <w:numFmt w:val="lowerLetter"/>
      <w:lvlText w:val="%8)"/>
      <w:lvlJc w:val="left"/>
      <w:pPr>
        <w:tabs>
          <w:tab w:val="num" w:pos="5760"/>
        </w:tabs>
        <w:ind w:left="5760" w:hanging="360"/>
      </w:pPr>
    </w:lvl>
    <w:lvl w:ilvl="8" w:tplc="F5CC5AE4" w:tentative="1">
      <w:start w:val="1"/>
      <w:numFmt w:val="lowerLetter"/>
      <w:lvlText w:val="%9)"/>
      <w:lvlJc w:val="left"/>
      <w:pPr>
        <w:tabs>
          <w:tab w:val="num" w:pos="6480"/>
        </w:tabs>
        <w:ind w:left="6480" w:hanging="360"/>
      </w:pPr>
    </w:lvl>
  </w:abstractNum>
  <w:abstractNum w:abstractNumId="13" w15:restartNumberingAfterBreak="0">
    <w:nsid w:val="4F8E31D9"/>
    <w:multiLevelType w:val="hybridMultilevel"/>
    <w:tmpl w:val="255465E0"/>
    <w:lvl w:ilvl="0" w:tplc="D8CA37F0">
      <w:start w:val="1"/>
      <w:numFmt w:val="bullet"/>
      <w:lvlText w:val="•"/>
      <w:lvlJc w:val="left"/>
      <w:pPr>
        <w:tabs>
          <w:tab w:val="num" w:pos="720"/>
        </w:tabs>
        <w:ind w:left="720" w:hanging="360"/>
      </w:pPr>
      <w:rPr>
        <w:rFonts w:ascii="Arial" w:hAnsi="Arial" w:hint="default"/>
      </w:rPr>
    </w:lvl>
    <w:lvl w:ilvl="1" w:tplc="7ECCC772" w:tentative="1">
      <w:start w:val="1"/>
      <w:numFmt w:val="bullet"/>
      <w:lvlText w:val="•"/>
      <w:lvlJc w:val="left"/>
      <w:pPr>
        <w:tabs>
          <w:tab w:val="num" w:pos="1440"/>
        </w:tabs>
        <w:ind w:left="1440" w:hanging="360"/>
      </w:pPr>
      <w:rPr>
        <w:rFonts w:ascii="Arial" w:hAnsi="Arial" w:hint="default"/>
      </w:rPr>
    </w:lvl>
    <w:lvl w:ilvl="2" w:tplc="ED22D2AA" w:tentative="1">
      <w:start w:val="1"/>
      <w:numFmt w:val="bullet"/>
      <w:lvlText w:val="•"/>
      <w:lvlJc w:val="left"/>
      <w:pPr>
        <w:tabs>
          <w:tab w:val="num" w:pos="2160"/>
        </w:tabs>
        <w:ind w:left="2160" w:hanging="360"/>
      </w:pPr>
      <w:rPr>
        <w:rFonts w:ascii="Arial" w:hAnsi="Arial" w:hint="default"/>
      </w:rPr>
    </w:lvl>
    <w:lvl w:ilvl="3" w:tplc="73E81A50" w:tentative="1">
      <w:start w:val="1"/>
      <w:numFmt w:val="bullet"/>
      <w:lvlText w:val="•"/>
      <w:lvlJc w:val="left"/>
      <w:pPr>
        <w:tabs>
          <w:tab w:val="num" w:pos="2880"/>
        </w:tabs>
        <w:ind w:left="2880" w:hanging="360"/>
      </w:pPr>
      <w:rPr>
        <w:rFonts w:ascii="Arial" w:hAnsi="Arial" w:hint="default"/>
      </w:rPr>
    </w:lvl>
    <w:lvl w:ilvl="4" w:tplc="ADDEA354" w:tentative="1">
      <w:start w:val="1"/>
      <w:numFmt w:val="bullet"/>
      <w:lvlText w:val="•"/>
      <w:lvlJc w:val="left"/>
      <w:pPr>
        <w:tabs>
          <w:tab w:val="num" w:pos="3600"/>
        </w:tabs>
        <w:ind w:left="3600" w:hanging="360"/>
      </w:pPr>
      <w:rPr>
        <w:rFonts w:ascii="Arial" w:hAnsi="Arial" w:hint="default"/>
      </w:rPr>
    </w:lvl>
    <w:lvl w:ilvl="5" w:tplc="420E76D4" w:tentative="1">
      <w:start w:val="1"/>
      <w:numFmt w:val="bullet"/>
      <w:lvlText w:val="•"/>
      <w:lvlJc w:val="left"/>
      <w:pPr>
        <w:tabs>
          <w:tab w:val="num" w:pos="4320"/>
        </w:tabs>
        <w:ind w:left="4320" w:hanging="360"/>
      </w:pPr>
      <w:rPr>
        <w:rFonts w:ascii="Arial" w:hAnsi="Arial" w:hint="default"/>
      </w:rPr>
    </w:lvl>
    <w:lvl w:ilvl="6" w:tplc="20944646" w:tentative="1">
      <w:start w:val="1"/>
      <w:numFmt w:val="bullet"/>
      <w:lvlText w:val="•"/>
      <w:lvlJc w:val="left"/>
      <w:pPr>
        <w:tabs>
          <w:tab w:val="num" w:pos="5040"/>
        </w:tabs>
        <w:ind w:left="5040" w:hanging="360"/>
      </w:pPr>
      <w:rPr>
        <w:rFonts w:ascii="Arial" w:hAnsi="Arial" w:hint="default"/>
      </w:rPr>
    </w:lvl>
    <w:lvl w:ilvl="7" w:tplc="5672F01A" w:tentative="1">
      <w:start w:val="1"/>
      <w:numFmt w:val="bullet"/>
      <w:lvlText w:val="•"/>
      <w:lvlJc w:val="left"/>
      <w:pPr>
        <w:tabs>
          <w:tab w:val="num" w:pos="5760"/>
        </w:tabs>
        <w:ind w:left="5760" w:hanging="360"/>
      </w:pPr>
      <w:rPr>
        <w:rFonts w:ascii="Arial" w:hAnsi="Arial" w:hint="default"/>
      </w:rPr>
    </w:lvl>
    <w:lvl w:ilvl="8" w:tplc="A2E832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F212AF"/>
    <w:multiLevelType w:val="hybridMultilevel"/>
    <w:tmpl w:val="DA42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60D23"/>
    <w:multiLevelType w:val="hybridMultilevel"/>
    <w:tmpl w:val="53CE738E"/>
    <w:lvl w:ilvl="0" w:tplc="6E38EBF4">
      <w:start w:val="1"/>
      <w:numFmt w:val="bullet"/>
      <w:lvlText w:val="•"/>
      <w:lvlJc w:val="left"/>
      <w:pPr>
        <w:tabs>
          <w:tab w:val="num" w:pos="720"/>
        </w:tabs>
        <w:ind w:left="720" w:hanging="360"/>
      </w:pPr>
      <w:rPr>
        <w:rFonts w:ascii="Arial" w:hAnsi="Arial" w:hint="default"/>
      </w:rPr>
    </w:lvl>
    <w:lvl w:ilvl="1" w:tplc="7EFAA494">
      <w:start w:val="212"/>
      <w:numFmt w:val="bullet"/>
      <w:lvlText w:val="•"/>
      <w:lvlJc w:val="left"/>
      <w:pPr>
        <w:tabs>
          <w:tab w:val="num" w:pos="1440"/>
        </w:tabs>
        <w:ind w:left="1440" w:hanging="360"/>
      </w:pPr>
      <w:rPr>
        <w:rFonts w:ascii="Arial" w:hAnsi="Arial" w:hint="default"/>
      </w:rPr>
    </w:lvl>
    <w:lvl w:ilvl="2" w:tplc="3F063F68" w:tentative="1">
      <w:start w:val="1"/>
      <w:numFmt w:val="bullet"/>
      <w:lvlText w:val="•"/>
      <w:lvlJc w:val="left"/>
      <w:pPr>
        <w:tabs>
          <w:tab w:val="num" w:pos="2160"/>
        </w:tabs>
        <w:ind w:left="2160" w:hanging="360"/>
      </w:pPr>
      <w:rPr>
        <w:rFonts w:ascii="Arial" w:hAnsi="Arial" w:hint="default"/>
      </w:rPr>
    </w:lvl>
    <w:lvl w:ilvl="3" w:tplc="E30A9D80" w:tentative="1">
      <w:start w:val="1"/>
      <w:numFmt w:val="bullet"/>
      <w:lvlText w:val="•"/>
      <w:lvlJc w:val="left"/>
      <w:pPr>
        <w:tabs>
          <w:tab w:val="num" w:pos="2880"/>
        </w:tabs>
        <w:ind w:left="2880" w:hanging="360"/>
      </w:pPr>
      <w:rPr>
        <w:rFonts w:ascii="Arial" w:hAnsi="Arial" w:hint="default"/>
      </w:rPr>
    </w:lvl>
    <w:lvl w:ilvl="4" w:tplc="B6F6B39C" w:tentative="1">
      <w:start w:val="1"/>
      <w:numFmt w:val="bullet"/>
      <w:lvlText w:val="•"/>
      <w:lvlJc w:val="left"/>
      <w:pPr>
        <w:tabs>
          <w:tab w:val="num" w:pos="3600"/>
        </w:tabs>
        <w:ind w:left="3600" w:hanging="360"/>
      </w:pPr>
      <w:rPr>
        <w:rFonts w:ascii="Arial" w:hAnsi="Arial" w:hint="default"/>
      </w:rPr>
    </w:lvl>
    <w:lvl w:ilvl="5" w:tplc="DE26FA0C" w:tentative="1">
      <w:start w:val="1"/>
      <w:numFmt w:val="bullet"/>
      <w:lvlText w:val="•"/>
      <w:lvlJc w:val="left"/>
      <w:pPr>
        <w:tabs>
          <w:tab w:val="num" w:pos="4320"/>
        </w:tabs>
        <w:ind w:left="4320" w:hanging="360"/>
      </w:pPr>
      <w:rPr>
        <w:rFonts w:ascii="Arial" w:hAnsi="Arial" w:hint="default"/>
      </w:rPr>
    </w:lvl>
    <w:lvl w:ilvl="6" w:tplc="1F8C8CAC" w:tentative="1">
      <w:start w:val="1"/>
      <w:numFmt w:val="bullet"/>
      <w:lvlText w:val="•"/>
      <w:lvlJc w:val="left"/>
      <w:pPr>
        <w:tabs>
          <w:tab w:val="num" w:pos="5040"/>
        </w:tabs>
        <w:ind w:left="5040" w:hanging="360"/>
      </w:pPr>
      <w:rPr>
        <w:rFonts w:ascii="Arial" w:hAnsi="Arial" w:hint="default"/>
      </w:rPr>
    </w:lvl>
    <w:lvl w:ilvl="7" w:tplc="268C2812" w:tentative="1">
      <w:start w:val="1"/>
      <w:numFmt w:val="bullet"/>
      <w:lvlText w:val="•"/>
      <w:lvlJc w:val="left"/>
      <w:pPr>
        <w:tabs>
          <w:tab w:val="num" w:pos="5760"/>
        </w:tabs>
        <w:ind w:left="5760" w:hanging="360"/>
      </w:pPr>
      <w:rPr>
        <w:rFonts w:ascii="Arial" w:hAnsi="Arial" w:hint="default"/>
      </w:rPr>
    </w:lvl>
    <w:lvl w:ilvl="8" w:tplc="9F1C81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512999"/>
    <w:multiLevelType w:val="hybridMultilevel"/>
    <w:tmpl w:val="1E088A32"/>
    <w:lvl w:ilvl="0" w:tplc="439C450A">
      <w:start w:val="1"/>
      <w:numFmt w:val="bullet"/>
      <w:lvlText w:val="•"/>
      <w:lvlJc w:val="left"/>
      <w:pPr>
        <w:tabs>
          <w:tab w:val="num" w:pos="720"/>
        </w:tabs>
        <w:ind w:left="720" w:hanging="360"/>
      </w:pPr>
      <w:rPr>
        <w:rFonts w:ascii="Arial" w:hAnsi="Arial" w:hint="default"/>
      </w:rPr>
    </w:lvl>
    <w:lvl w:ilvl="1" w:tplc="096CD9E4" w:tentative="1">
      <w:start w:val="1"/>
      <w:numFmt w:val="bullet"/>
      <w:lvlText w:val="•"/>
      <w:lvlJc w:val="left"/>
      <w:pPr>
        <w:tabs>
          <w:tab w:val="num" w:pos="1440"/>
        </w:tabs>
        <w:ind w:left="1440" w:hanging="360"/>
      </w:pPr>
      <w:rPr>
        <w:rFonts w:ascii="Arial" w:hAnsi="Arial" w:hint="default"/>
      </w:rPr>
    </w:lvl>
    <w:lvl w:ilvl="2" w:tplc="A4EEEFDC" w:tentative="1">
      <w:start w:val="1"/>
      <w:numFmt w:val="bullet"/>
      <w:lvlText w:val="•"/>
      <w:lvlJc w:val="left"/>
      <w:pPr>
        <w:tabs>
          <w:tab w:val="num" w:pos="2160"/>
        </w:tabs>
        <w:ind w:left="2160" w:hanging="360"/>
      </w:pPr>
      <w:rPr>
        <w:rFonts w:ascii="Arial" w:hAnsi="Arial" w:hint="default"/>
      </w:rPr>
    </w:lvl>
    <w:lvl w:ilvl="3" w:tplc="7F72D6E8" w:tentative="1">
      <w:start w:val="1"/>
      <w:numFmt w:val="bullet"/>
      <w:lvlText w:val="•"/>
      <w:lvlJc w:val="left"/>
      <w:pPr>
        <w:tabs>
          <w:tab w:val="num" w:pos="2880"/>
        </w:tabs>
        <w:ind w:left="2880" w:hanging="360"/>
      </w:pPr>
      <w:rPr>
        <w:rFonts w:ascii="Arial" w:hAnsi="Arial" w:hint="default"/>
      </w:rPr>
    </w:lvl>
    <w:lvl w:ilvl="4" w:tplc="0B7C1668" w:tentative="1">
      <w:start w:val="1"/>
      <w:numFmt w:val="bullet"/>
      <w:lvlText w:val="•"/>
      <w:lvlJc w:val="left"/>
      <w:pPr>
        <w:tabs>
          <w:tab w:val="num" w:pos="3600"/>
        </w:tabs>
        <w:ind w:left="3600" w:hanging="360"/>
      </w:pPr>
      <w:rPr>
        <w:rFonts w:ascii="Arial" w:hAnsi="Arial" w:hint="default"/>
      </w:rPr>
    </w:lvl>
    <w:lvl w:ilvl="5" w:tplc="D26054A0" w:tentative="1">
      <w:start w:val="1"/>
      <w:numFmt w:val="bullet"/>
      <w:lvlText w:val="•"/>
      <w:lvlJc w:val="left"/>
      <w:pPr>
        <w:tabs>
          <w:tab w:val="num" w:pos="4320"/>
        </w:tabs>
        <w:ind w:left="4320" w:hanging="360"/>
      </w:pPr>
      <w:rPr>
        <w:rFonts w:ascii="Arial" w:hAnsi="Arial" w:hint="default"/>
      </w:rPr>
    </w:lvl>
    <w:lvl w:ilvl="6" w:tplc="02D01ED2" w:tentative="1">
      <w:start w:val="1"/>
      <w:numFmt w:val="bullet"/>
      <w:lvlText w:val="•"/>
      <w:lvlJc w:val="left"/>
      <w:pPr>
        <w:tabs>
          <w:tab w:val="num" w:pos="5040"/>
        </w:tabs>
        <w:ind w:left="5040" w:hanging="360"/>
      </w:pPr>
      <w:rPr>
        <w:rFonts w:ascii="Arial" w:hAnsi="Arial" w:hint="default"/>
      </w:rPr>
    </w:lvl>
    <w:lvl w:ilvl="7" w:tplc="C4B60E18" w:tentative="1">
      <w:start w:val="1"/>
      <w:numFmt w:val="bullet"/>
      <w:lvlText w:val="•"/>
      <w:lvlJc w:val="left"/>
      <w:pPr>
        <w:tabs>
          <w:tab w:val="num" w:pos="5760"/>
        </w:tabs>
        <w:ind w:left="5760" w:hanging="360"/>
      </w:pPr>
      <w:rPr>
        <w:rFonts w:ascii="Arial" w:hAnsi="Arial" w:hint="default"/>
      </w:rPr>
    </w:lvl>
    <w:lvl w:ilvl="8" w:tplc="2918E0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AB654C"/>
    <w:multiLevelType w:val="hybridMultilevel"/>
    <w:tmpl w:val="BFA83482"/>
    <w:lvl w:ilvl="0" w:tplc="E54EA3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F827FC"/>
    <w:multiLevelType w:val="hybridMultilevel"/>
    <w:tmpl w:val="6F0A75A4"/>
    <w:lvl w:ilvl="0" w:tplc="A992D0CA">
      <w:start w:val="1"/>
      <w:numFmt w:val="lowerLetter"/>
      <w:lvlText w:val="%1)"/>
      <w:lvlJc w:val="left"/>
      <w:pPr>
        <w:tabs>
          <w:tab w:val="num" w:pos="720"/>
        </w:tabs>
        <w:ind w:left="720" w:hanging="360"/>
      </w:pPr>
    </w:lvl>
    <w:lvl w:ilvl="1" w:tplc="7676001E" w:tentative="1">
      <w:start w:val="1"/>
      <w:numFmt w:val="lowerLetter"/>
      <w:lvlText w:val="%2)"/>
      <w:lvlJc w:val="left"/>
      <w:pPr>
        <w:tabs>
          <w:tab w:val="num" w:pos="1440"/>
        </w:tabs>
        <w:ind w:left="1440" w:hanging="360"/>
      </w:pPr>
    </w:lvl>
    <w:lvl w:ilvl="2" w:tplc="DFD486FA" w:tentative="1">
      <w:start w:val="1"/>
      <w:numFmt w:val="lowerLetter"/>
      <w:lvlText w:val="%3)"/>
      <w:lvlJc w:val="left"/>
      <w:pPr>
        <w:tabs>
          <w:tab w:val="num" w:pos="2160"/>
        </w:tabs>
        <w:ind w:left="2160" w:hanging="360"/>
      </w:pPr>
    </w:lvl>
    <w:lvl w:ilvl="3" w:tplc="94ACF104" w:tentative="1">
      <w:start w:val="1"/>
      <w:numFmt w:val="lowerLetter"/>
      <w:lvlText w:val="%4)"/>
      <w:lvlJc w:val="left"/>
      <w:pPr>
        <w:tabs>
          <w:tab w:val="num" w:pos="2880"/>
        </w:tabs>
        <w:ind w:left="2880" w:hanging="360"/>
      </w:pPr>
    </w:lvl>
    <w:lvl w:ilvl="4" w:tplc="A6A80782" w:tentative="1">
      <w:start w:val="1"/>
      <w:numFmt w:val="lowerLetter"/>
      <w:lvlText w:val="%5)"/>
      <w:lvlJc w:val="left"/>
      <w:pPr>
        <w:tabs>
          <w:tab w:val="num" w:pos="3600"/>
        </w:tabs>
        <w:ind w:left="3600" w:hanging="360"/>
      </w:pPr>
    </w:lvl>
    <w:lvl w:ilvl="5" w:tplc="57861768" w:tentative="1">
      <w:start w:val="1"/>
      <w:numFmt w:val="lowerLetter"/>
      <w:lvlText w:val="%6)"/>
      <w:lvlJc w:val="left"/>
      <w:pPr>
        <w:tabs>
          <w:tab w:val="num" w:pos="4320"/>
        </w:tabs>
        <w:ind w:left="4320" w:hanging="360"/>
      </w:pPr>
    </w:lvl>
    <w:lvl w:ilvl="6" w:tplc="34D41AB6" w:tentative="1">
      <w:start w:val="1"/>
      <w:numFmt w:val="lowerLetter"/>
      <w:lvlText w:val="%7)"/>
      <w:lvlJc w:val="left"/>
      <w:pPr>
        <w:tabs>
          <w:tab w:val="num" w:pos="5040"/>
        </w:tabs>
        <w:ind w:left="5040" w:hanging="360"/>
      </w:pPr>
    </w:lvl>
    <w:lvl w:ilvl="7" w:tplc="3A98490C" w:tentative="1">
      <w:start w:val="1"/>
      <w:numFmt w:val="lowerLetter"/>
      <w:lvlText w:val="%8)"/>
      <w:lvlJc w:val="left"/>
      <w:pPr>
        <w:tabs>
          <w:tab w:val="num" w:pos="5760"/>
        </w:tabs>
        <w:ind w:left="5760" w:hanging="360"/>
      </w:pPr>
    </w:lvl>
    <w:lvl w:ilvl="8" w:tplc="A300C28C" w:tentative="1">
      <w:start w:val="1"/>
      <w:numFmt w:val="lowerLetter"/>
      <w:lvlText w:val="%9)"/>
      <w:lvlJc w:val="left"/>
      <w:pPr>
        <w:tabs>
          <w:tab w:val="num" w:pos="6480"/>
        </w:tabs>
        <w:ind w:left="6480" w:hanging="360"/>
      </w:pPr>
    </w:lvl>
  </w:abstractNum>
  <w:abstractNum w:abstractNumId="19" w15:restartNumberingAfterBreak="0">
    <w:nsid w:val="79980D8D"/>
    <w:multiLevelType w:val="hybridMultilevel"/>
    <w:tmpl w:val="0470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7034C"/>
    <w:multiLevelType w:val="hybridMultilevel"/>
    <w:tmpl w:val="5CAC881E"/>
    <w:lvl w:ilvl="0" w:tplc="46826E1A">
      <w:start w:val="1"/>
      <w:numFmt w:val="bullet"/>
      <w:lvlText w:val="•"/>
      <w:lvlJc w:val="left"/>
      <w:pPr>
        <w:tabs>
          <w:tab w:val="num" w:pos="720"/>
        </w:tabs>
        <w:ind w:left="720" w:hanging="360"/>
      </w:pPr>
      <w:rPr>
        <w:rFonts w:ascii="Arial" w:hAnsi="Arial" w:hint="default"/>
      </w:rPr>
    </w:lvl>
    <w:lvl w:ilvl="1" w:tplc="4B4AA712" w:tentative="1">
      <w:start w:val="1"/>
      <w:numFmt w:val="bullet"/>
      <w:lvlText w:val="•"/>
      <w:lvlJc w:val="left"/>
      <w:pPr>
        <w:tabs>
          <w:tab w:val="num" w:pos="1440"/>
        </w:tabs>
        <w:ind w:left="1440" w:hanging="360"/>
      </w:pPr>
      <w:rPr>
        <w:rFonts w:ascii="Arial" w:hAnsi="Arial" w:hint="default"/>
      </w:rPr>
    </w:lvl>
    <w:lvl w:ilvl="2" w:tplc="E3F6130A" w:tentative="1">
      <w:start w:val="1"/>
      <w:numFmt w:val="bullet"/>
      <w:lvlText w:val="•"/>
      <w:lvlJc w:val="left"/>
      <w:pPr>
        <w:tabs>
          <w:tab w:val="num" w:pos="2160"/>
        </w:tabs>
        <w:ind w:left="2160" w:hanging="360"/>
      </w:pPr>
      <w:rPr>
        <w:rFonts w:ascii="Arial" w:hAnsi="Arial" w:hint="default"/>
      </w:rPr>
    </w:lvl>
    <w:lvl w:ilvl="3" w:tplc="ACACBC20" w:tentative="1">
      <w:start w:val="1"/>
      <w:numFmt w:val="bullet"/>
      <w:lvlText w:val="•"/>
      <w:lvlJc w:val="left"/>
      <w:pPr>
        <w:tabs>
          <w:tab w:val="num" w:pos="2880"/>
        </w:tabs>
        <w:ind w:left="2880" w:hanging="360"/>
      </w:pPr>
      <w:rPr>
        <w:rFonts w:ascii="Arial" w:hAnsi="Arial" w:hint="default"/>
      </w:rPr>
    </w:lvl>
    <w:lvl w:ilvl="4" w:tplc="B2748E60" w:tentative="1">
      <w:start w:val="1"/>
      <w:numFmt w:val="bullet"/>
      <w:lvlText w:val="•"/>
      <w:lvlJc w:val="left"/>
      <w:pPr>
        <w:tabs>
          <w:tab w:val="num" w:pos="3600"/>
        </w:tabs>
        <w:ind w:left="3600" w:hanging="360"/>
      </w:pPr>
      <w:rPr>
        <w:rFonts w:ascii="Arial" w:hAnsi="Arial" w:hint="default"/>
      </w:rPr>
    </w:lvl>
    <w:lvl w:ilvl="5" w:tplc="6044AAE4" w:tentative="1">
      <w:start w:val="1"/>
      <w:numFmt w:val="bullet"/>
      <w:lvlText w:val="•"/>
      <w:lvlJc w:val="left"/>
      <w:pPr>
        <w:tabs>
          <w:tab w:val="num" w:pos="4320"/>
        </w:tabs>
        <w:ind w:left="4320" w:hanging="360"/>
      </w:pPr>
      <w:rPr>
        <w:rFonts w:ascii="Arial" w:hAnsi="Arial" w:hint="default"/>
      </w:rPr>
    </w:lvl>
    <w:lvl w:ilvl="6" w:tplc="60D41DD0" w:tentative="1">
      <w:start w:val="1"/>
      <w:numFmt w:val="bullet"/>
      <w:lvlText w:val="•"/>
      <w:lvlJc w:val="left"/>
      <w:pPr>
        <w:tabs>
          <w:tab w:val="num" w:pos="5040"/>
        </w:tabs>
        <w:ind w:left="5040" w:hanging="360"/>
      </w:pPr>
      <w:rPr>
        <w:rFonts w:ascii="Arial" w:hAnsi="Arial" w:hint="default"/>
      </w:rPr>
    </w:lvl>
    <w:lvl w:ilvl="7" w:tplc="14FA3ADE" w:tentative="1">
      <w:start w:val="1"/>
      <w:numFmt w:val="bullet"/>
      <w:lvlText w:val="•"/>
      <w:lvlJc w:val="left"/>
      <w:pPr>
        <w:tabs>
          <w:tab w:val="num" w:pos="5760"/>
        </w:tabs>
        <w:ind w:left="5760" w:hanging="360"/>
      </w:pPr>
      <w:rPr>
        <w:rFonts w:ascii="Arial" w:hAnsi="Arial" w:hint="default"/>
      </w:rPr>
    </w:lvl>
    <w:lvl w:ilvl="8" w:tplc="E97865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CE464A"/>
    <w:multiLevelType w:val="hybridMultilevel"/>
    <w:tmpl w:val="6E0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21"/>
  </w:num>
  <w:num w:numId="5">
    <w:abstractNumId w:val="14"/>
  </w:num>
  <w:num w:numId="6">
    <w:abstractNumId w:val="10"/>
  </w:num>
  <w:num w:numId="7">
    <w:abstractNumId w:val="20"/>
  </w:num>
  <w:num w:numId="8">
    <w:abstractNumId w:val="7"/>
  </w:num>
  <w:num w:numId="9">
    <w:abstractNumId w:val="9"/>
  </w:num>
  <w:num w:numId="10">
    <w:abstractNumId w:val="4"/>
  </w:num>
  <w:num w:numId="11">
    <w:abstractNumId w:val="6"/>
  </w:num>
  <w:num w:numId="12">
    <w:abstractNumId w:val="16"/>
  </w:num>
  <w:num w:numId="13">
    <w:abstractNumId w:val="1"/>
  </w:num>
  <w:num w:numId="14">
    <w:abstractNumId w:val="13"/>
  </w:num>
  <w:num w:numId="15">
    <w:abstractNumId w:val="11"/>
  </w:num>
  <w:num w:numId="16">
    <w:abstractNumId w:val="8"/>
  </w:num>
  <w:num w:numId="17">
    <w:abstractNumId w:val="3"/>
  </w:num>
  <w:num w:numId="18">
    <w:abstractNumId w:val="5"/>
  </w:num>
  <w:num w:numId="19">
    <w:abstractNumId w:val="0"/>
  </w:num>
  <w:num w:numId="20">
    <w:abstractNumId w:val="15"/>
  </w:num>
  <w:num w:numId="21">
    <w:abstractNumId w:val="12"/>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3735"/>
    <w:rsid w:val="00032F72"/>
    <w:rsid w:val="00074C94"/>
    <w:rsid w:val="000813FD"/>
    <w:rsid w:val="00083BB7"/>
    <w:rsid w:val="0009282A"/>
    <w:rsid w:val="000B4382"/>
    <w:rsid w:val="000C1AC7"/>
    <w:rsid w:val="000D0262"/>
    <w:rsid w:val="000E1C9D"/>
    <w:rsid w:val="000F07E6"/>
    <w:rsid w:val="000F6E9B"/>
    <w:rsid w:val="001131C4"/>
    <w:rsid w:val="00127EFB"/>
    <w:rsid w:val="00167866"/>
    <w:rsid w:val="00167AA4"/>
    <w:rsid w:val="00167F39"/>
    <w:rsid w:val="00183B24"/>
    <w:rsid w:val="001847A8"/>
    <w:rsid w:val="00187943"/>
    <w:rsid w:val="00194476"/>
    <w:rsid w:val="001A1B98"/>
    <w:rsid w:val="001A1FF7"/>
    <w:rsid w:val="001A33BC"/>
    <w:rsid w:val="001C24B2"/>
    <w:rsid w:val="001F0501"/>
    <w:rsid w:val="00220384"/>
    <w:rsid w:val="002334D0"/>
    <w:rsid w:val="00235936"/>
    <w:rsid w:val="002471A6"/>
    <w:rsid w:val="00252723"/>
    <w:rsid w:val="002606A3"/>
    <w:rsid w:val="00266029"/>
    <w:rsid w:val="00275DD6"/>
    <w:rsid w:val="00277135"/>
    <w:rsid w:val="002A19A7"/>
    <w:rsid w:val="002B1A0D"/>
    <w:rsid w:val="002B4035"/>
    <w:rsid w:val="002D51BF"/>
    <w:rsid w:val="002F24E1"/>
    <w:rsid w:val="00312077"/>
    <w:rsid w:val="00331329"/>
    <w:rsid w:val="00362CB2"/>
    <w:rsid w:val="00374762"/>
    <w:rsid w:val="003A1BFD"/>
    <w:rsid w:val="003B7153"/>
    <w:rsid w:val="003E63DE"/>
    <w:rsid w:val="003F145A"/>
    <w:rsid w:val="0043609D"/>
    <w:rsid w:val="00454DDA"/>
    <w:rsid w:val="004934CB"/>
    <w:rsid w:val="004B2405"/>
    <w:rsid w:val="004E54AE"/>
    <w:rsid w:val="00503340"/>
    <w:rsid w:val="0051791C"/>
    <w:rsid w:val="005201FC"/>
    <w:rsid w:val="00531F03"/>
    <w:rsid w:val="00533EA7"/>
    <w:rsid w:val="00556B54"/>
    <w:rsid w:val="00565C00"/>
    <w:rsid w:val="00573AA8"/>
    <w:rsid w:val="005A52F5"/>
    <w:rsid w:val="005B2ED4"/>
    <w:rsid w:val="005B7B65"/>
    <w:rsid w:val="00637FF7"/>
    <w:rsid w:val="00640D79"/>
    <w:rsid w:val="00646253"/>
    <w:rsid w:val="00672B0C"/>
    <w:rsid w:val="006877B3"/>
    <w:rsid w:val="006A58B1"/>
    <w:rsid w:val="006B63BB"/>
    <w:rsid w:val="006D1BA5"/>
    <w:rsid w:val="006F3622"/>
    <w:rsid w:val="00702C8C"/>
    <w:rsid w:val="007041A0"/>
    <w:rsid w:val="007345DD"/>
    <w:rsid w:val="00740036"/>
    <w:rsid w:val="00770C74"/>
    <w:rsid w:val="00797482"/>
    <w:rsid w:val="007B29E6"/>
    <w:rsid w:val="007D5A12"/>
    <w:rsid w:val="007D7AA0"/>
    <w:rsid w:val="007E4A9A"/>
    <w:rsid w:val="008209D6"/>
    <w:rsid w:val="0082483E"/>
    <w:rsid w:val="008417C4"/>
    <w:rsid w:val="008663EA"/>
    <w:rsid w:val="00876C35"/>
    <w:rsid w:val="008921B5"/>
    <w:rsid w:val="008E024C"/>
    <w:rsid w:val="009125D8"/>
    <w:rsid w:val="00925B55"/>
    <w:rsid w:val="00930DB7"/>
    <w:rsid w:val="00953722"/>
    <w:rsid w:val="00991FC1"/>
    <w:rsid w:val="009926B9"/>
    <w:rsid w:val="009D21BB"/>
    <w:rsid w:val="009E35E2"/>
    <w:rsid w:val="009F7850"/>
    <w:rsid w:val="00A0219F"/>
    <w:rsid w:val="00A131F6"/>
    <w:rsid w:val="00A34E63"/>
    <w:rsid w:val="00A407E0"/>
    <w:rsid w:val="00A4266A"/>
    <w:rsid w:val="00A5486E"/>
    <w:rsid w:val="00A8030D"/>
    <w:rsid w:val="00A822FD"/>
    <w:rsid w:val="00A96F49"/>
    <w:rsid w:val="00AA4CAA"/>
    <w:rsid w:val="00AA7095"/>
    <w:rsid w:val="00AA7A13"/>
    <w:rsid w:val="00AC553C"/>
    <w:rsid w:val="00AD3011"/>
    <w:rsid w:val="00AE71B7"/>
    <w:rsid w:val="00AF1EE1"/>
    <w:rsid w:val="00B149FF"/>
    <w:rsid w:val="00B4347C"/>
    <w:rsid w:val="00B55AFA"/>
    <w:rsid w:val="00B83103"/>
    <w:rsid w:val="00B86C6A"/>
    <w:rsid w:val="00BB4242"/>
    <w:rsid w:val="00BD1B29"/>
    <w:rsid w:val="00BD6BC9"/>
    <w:rsid w:val="00BE47FA"/>
    <w:rsid w:val="00C0030F"/>
    <w:rsid w:val="00C1744A"/>
    <w:rsid w:val="00C25D37"/>
    <w:rsid w:val="00C37D10"/>
    <w:rsid w:val="00C525AC"/>
    <w:rsid w:val="00C708D5"/>
    <w:rsid w:val="00C83884"/>
    <w:rsid w:val="00CA468E"/>
    <w:rsid w:val="00CA72FB"/>
    <w:rsid w:val="00CC07FF"/>
    <w:rsid w:val="00CC123E"/>
    <w:rsid w:val="00CD18A4"/>
    <w:rsid w:val="00D011B8"/>
    <w:rsid w:val="00D073FA"/>
    <w:rsid w:val="00D368C0"/>
    <w:rsid w:val="00D42E7C"/>
    <w:rsid w:val="00D55575"/>
    <w:rsid w:val="00D574B7"/>
    <w:rsid w:val="00D734BA"/>
    <w:rsid w:val="00D94E53"/>
    <w:rsid w:val="00D96205"/>
    <w:rsid w:val="00DB5D27"/>
    <w:rsid w:val="00DF0059"/>
    <w:rsid w:val="00E22FD1"/>
    <w:rsid w:val="00E33AFC"/>
    <w:rsid w:val="00E36A54"/>
    <w:rsid w:val="00E466CC"/>
    <w:rsid w:val="00E7435E"/>
    <w:rsid w:val="00EA2DD1"/>
    <w:rsid w:val="00EA5F2B"/>
    <w:rsid w:val="00EB28FB"/>
    <w:rsid w:val="00EB4846"/>
    <w:rsid w:val="00F06CE5"/>
    <w:rsid w:val="00F21467"/>
    <w:rsid w:val="00F27A53"/>
    <w:rsid w:val="00F305FC"/>
    <w:rsid w:val="00F43CD9"/>
    <w:rsid w:val="00F540A7"/>
    <w:rsid w:val="00F57315"/>
    <w:rsid w:val="00F9090B"/>
    <w:rsid w:val="00F9272F"/>
    <w:rsid w:val="00F94DB1"/>
    <w:rsid w:val="00F97970"/>
    <w:rsid w:val="00FA3A46"/>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672B0C"/>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7D7AA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672B0C"/>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L,Bullet point,NFP GP Bulleted List,Number,#List Paragraph,List Paragraph111,F5 List Paragraph,Dot pt,CV text,Table text,Medium Grid 1 - Accent 21,Numbered Paragraph,List Paragraph2,Bullets"/>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5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L Char,Bullet point Char,NFP GP Bulleted List Char,Number Char,#List Paragraph Char,List Paragraph111 Char,F5 List Paragraph Char,Dot pt Char,CV text Char,Table text Char"/>
    <w:link w:val="ListParagraph"/>
    <w:uiPriority w:val="34"/>
    <w:locked/>
    <w:rsid w:val="00252723"/>
    <w:rPr>
      <w:rFonts w:eastAsiaTheme="minorEastAsia"/>
      <w:szCs w:val="24"/>
    </w:rPr>
  </w:style>
  <w:style w:type="paragraph" w:styleId="NormalWeb">
    <w:name w:val="Normal (Web)"/>
    <w:basedOn w:val="Normal"/>
    <w:uiPriority w:val="99"/>
    <w:semiHidden/>
    <w:unhideWhenUsed/>
    <w:rsid w:val="001F0501"/>
    <w:pPr>
      <w:spacing w:before="100" w:beforeAutospacing="1" w:after="100" w:afterAutospacing="1"/>
    </w:pPr>
    <w:rPr>
      <w:rFonts w:ascii="Times New Roman" w:eastAsia="Times New Roman" w:hAnsi="Times New Roman" w:cs="Times New Roman"/>
      <w:lang w:eastAsia="en-AU"/>
    </w:rPr>
  </w:style>
  <w:style w:type="character" w:customStyle="1" w:styleId="Heading6Char">
    <w:name w:val="Heading 6 Char"/>
    <w:basedOn w:val="DefaultParagraphFont"/>
    <w:link w:val="Heading6"/>
    <w:uiPriority w:val="9"/>
    <w:rsid w:val="007D7AA0"/>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6">
      <w:bodyDiv w:val="1"/>
      <w:marLeft w:val="0"/>
      <w:marRight w:val="0"/>
      <w:marTop w:val="0"/>
      <w:marBottom w:val="0"/>
      <w:divBdr>
        <w:top w:val="none" w:sz="0" w:space="0" w:color="auto"/>
        <w:left w:val="none" w:sz="0" w:space="0" w:color="auto"/>
        <w:bottom w:val="none" w:sz="0" w:space="0" w:color="auto"/>
        <w:right w:val="none" w:sz="0" w:space="0" w:color="auto"/>
      </w:divBdr>
    </w:div>
    <w:div w:id="19864685">
      <w:bodyDiv w:val="1"/>
      <w:marLeft w:val="0"/>
      <w:marRight w:val="0"/>
      <w:marTop w:val="0"/>
      <w:marBottom w:val="0"/>
      <w:divBdr>
        <w:top w:val="none" w:sz="0" w:space="0" w:color="auto"/>
        <w:left w:val="none" w:sz="0" w:space="0" w:color="auto"/>
        <w:bottom w:val="none" w:sz="0" w:space="0" w:color="auto"/>
        <w:right w:val="none" w:sz="0" w:space="0" w:color="auto"/>
      </w:divBdr>
      <w:divsChild>
        <w:div w:id="1789857630">
          <w:marLeft w:val="446"/>
          <w:marRight w:val="0"/>
          <w:marTop w:val="0"/>
          <w:marBottom w:val="0"/>
          <w:divBdr>
            <w:top w:val="none" w:sz="0" w:space="0" w:color="auto"/>
            <w:left w:val="none" w:sz="0" w:space="0" w:color="auto"/>
            <w:bottom w:val="none" w:sz="0" w:space="0" w:color="auto"/>
            <w:right w:val="none" w:sz="0" w:space="0" w:color="auto"/>
          </w:divBdr>
        </w:div>
        <w:div w:id="2012293728">
          <w:marLeft w:val="446"/>
          <w:marRight w:val="0"/>
          <w:marTop w:val="0"/>
          <w:marBottom w:val="0"/>
          <w:divBdr>
            <w:top w:val="none" w:sz="0" w:space="0" w:color="auto"/>
            <w:left w:val="none" w:sz="0" w:space="0" w:color="auto"/>
            <w:bottom w:val="none" w:sz="0" w:space="0" w:color="auto"/>
            <w:right w:val="none" w:sz="0" w:space="0" w:color="auto"/>
          </w:divBdr>
        </w:div>
        <w:div w:id="1035497622">
          <w:marLeft w:val="446"/>
          <w:marRight w:val="0"/>
          <w:marTop w:val="0"/>
          <w:marBottom w:val="0"/>
          <w:divBdr>
            <w:top w:val="none" w:sz="0" w:space="0" w:color="auto"/>
            <w:left w:val="none" w:sz="0" w:space="0" w:color="auto"/>
            <w:bottom w:val="none" w:sz="0" w:space="0" w:color="auto"/>
            <w:right w:val="none" w:sz="0" w:space="0" w:color="auto"/>
          </w:divBdr>
        </w:div>
        <w:div w:id="1464428001">
          <w:marLeft w:val="446"/>
          <w:marRight w:val="0"/>
          <w:marTop w:val="0"/>
          <w:marBottom w:val="0"/>
          <w:divBdr>
            <w:top w:val="none" w:sz="0" w:space="0" w:color="auto"/>
            <w:left w:val="none" w:sz="0" w:space="0" w:color="auto"/>
            <w:bottom w:val="none" w:sz="0" w:space="0" w:color="auto"/>
            <w:right w:val="none" w:sz="0" w:space="0" w:color="auto"/>
          </w:divBdr>
        </w:div>
        <w:div w:id="1689943197">
          <w:marLeft w:val="446"/>
          <w:marRight w:val="0"/>
          <w:marTop w:val="0"/>
          <w:marBottom w:val="0"/>
          <w:divBdr>
            <w:top w:val="none" w:sz="0" w:space="0" w:color="auto"/>
            <w:left w:val="none" w:sz="0" w:space="0" w:color="auto"/>
            <w:bottom w:val="none" w:sz="0" w:space="0" w:color="auto"/>
            <w:right w:val="none" w:sz="0" w:space="0" w:color="auto"/>
          </w:divBdr>
        </w:div>
        <w:div w:id="1227645739">
          <w:marLeft w:val="446"/>
          <w:marRight w:val="0"/>
          <w:marTop w:val="0"/>
          <w:marBottom w:val="0"/>
          <w:divBdr>
            <w:top w:val="none" w:sz="0" w:space="0" w:color="auto"/>
            <w:left w:val="none" w:sz="0" w:space="0" w:color="auto"/>
            <w:bottom w:val="none" w:sz="0" w:space="0" w:color="auto"/>
            <w:right w:val="none" w:sz="0" w:space="0" w:color="auto"/>
          </w:divBdr>
        </w:div>
      </w:divsChild>
    </w:div>
    <w:div w:id="46682103">
      <w:bodyDiv w:val="1"/>
      <w:marLeft w:val="0"/>
      <w:marRight w:val="0"/>
      <w:marTop w:val="0"/>
      <w:marBottom w:val="0"/>
      <w:divBdr>
        <w:top w:val="none" w:sz="0" w:space="0" w:color="auto"/>
        <w:left w:val="none" w:sz="0" w:space="0" w:color="auto"/>
        <w:bottom w:val="none" w:sz="0" w:space="0" w:color="auto"/>
        <w:right w:val="none" w:sz="0" w:space="0" w:color="auto"/>
      </w:divBdr>
      <w:divsChild>
        <w:div w:id="669063511">
          <w:marLeft w:val="547"/>
          <w:marRight w:val="0"/>
          <w:marTop w:val="0"/>
          <w:marBottom w:val="0"/>
          <w:divBdr>
            <w:top w:val="none" w:sz="0" w:space="0" w:color="auto"/>
            <w:left w:val="none" w:sz="0" w:space="0" w:color="auto"/>
            <w:bottom w:val="none" w:sz="0" w:space="0" w:color="auto"/>
            <w:right w:val="none" w:sz="0" w:space="0" w:color="auto"/>
          </w:divBdr>
        </w:div>
        <w:div w:id="1325552792">
          <w:marLeft w:val="547"/>
          <w:marRight w:val="0"/>
          <w:marTop w:val="0"/>
          <w:marBottom w:val="0"/>
          <w:divBdr>
            <w:top w:val="none" w:sz="0" w:space="0" w:color="auto"/>
            <w:left w:val="none" w:sz="0" w:space="0" w:color="auto"/>
            <w:bottom w:val="none" w:sz="0" w:space="0" w:color="auto"/>
            <w:right w:val="none" w:sz="0" w:space="0" w:color="auto"/>
          </w:divBdr>
        </w:div>
        <w:div w:id="2107918939">
          <w:marLeft w:val="547"/>
          <w:marRight w:val="0"/>
          <w:marTop w:val="0"/>
          <w:marBottom w:val="0"/>
          <w:divBdr>
            <w:top w:val="none" w:sz="0" w:space="0" w:color="auto"/>
            <w:left w:val="none" w:sz="0" w:space="0" w:color="auto"/>
            <w:bottom w:val="none" w:sz="0" w:space="0" w:color="auto"/>
            <w:right w:val="none" w:sz="0" w:space="0" w:color="auto"/>
          </w:divBdr>
        </w:div>
        <w:div w:id="723404560">
          <w:marLeft w:val="547"/>
          <w:marRight w:val="0"/>
          <w:marTop w:val="0"/>
          <w:marBottom w:val="0"/>
          <w:divBdr>
            <w:top w:val="none" w:sz="0" w:space="0" w:color="auto"/>
            <w:left w:val="none" w:sz="0" w:space="0" w:color="auto"/>
            <w:bottom w:val="none" w:sz="0" w:space="0" w:color="auto"/>
            <w:right w:val="none" w:sz="0" w:space="0" w:color="auto"/>
          </w:divBdr>
        </w:div>
        <w:div w:id="1345017759">
          <w:marLeft w:val="547"/>
          <w:marRight w:val="0"/>
          <w:marTop w:val="0"/>
          <w:marBottom w:val="0"/>
          <w:divBdr>
            <w:top w:val="none" w:sz="0" w:space="0" w:color="auto"/>
            <w:left w:val="none" w:sz="0" w:space="0" w:color="auto"/>
            <w:bottom w:val="none" w:sz="0" w:space="0" w:color="auto"/>
            <w:right w:val="none" w:sz="0" w:space="0" w:color="auto"/>
          </w:divBdr>
        </w:div>
      </w:divsChild>
    </w:div>
    <w:div w:id="51344137">
      <w:bodyDiv w:val="1"/>
      <w:marLeft w:val="0"/>
      <w:marRight w:val="0"/>
      <w:marTop w:val="0"/>
      <w:marBottom w:val="0"/>
      <w:divBdr>
        <w:top w:val="none" w:sz="0" w:space="0" w:color="auto"/>
        <w:left w:val="none" w:sz="0" w:space="0" w:color="auto"/>
        <w:bottom w:val="none" w:sz="0" w:space="0" w:color="auto"/>
        <w:right w:val="none" w:sz="0" w:space="0" w:color="auto"/>
      </w:divBdr>
    </w:div>
    <w:div w:id="122045573">
      <w:bodyDiv w:val="1"/>
      <w:marLeft w:val="0"/>
      <w:marRight w:val="0"/>
      <w:marTop w:val="0"/>
      <w:marBottom w:val="0"/>
      <w:divBdr>
        <w:top w:val="none" w:sz="0" w:space="0" w:color="auto"/>
        <w:left w:val="none" w:sz="0" w:space="0" w:color="auto"/>
        <w:bottom w:val="none" w:sz="0" w:space="0" w:color="auto"/>
        <w:right w:val="none" w:sz="0" w:space="0" w:color="auto"/>
      </w:divBdr>
    </w:div>
    <w:div w:id="134219765">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73946865">
      <w:bodyDiv w:val="1"/>
      <w:marLeft w:val="0"/>
      <w:marRight w:val="0"/>
      <w:marTop w:val="0"/>
      <w:marBottom w:val="0"/>
      <w:divBdr>
        <w:top w:val="none" w:sz="0" w:space="0" w:color="auto"/>
        <w:left w:val="none" w:sz="0" w:space="0" w:color="auto"/>
        <w:bottom w:val="none" w:sz="0" w:space="0" w:color="auto"/>
        <w:right w:val="none" w:sz="0" w:space="0" w:color="auto"/>
      </w:divBdr>
    </w:div>
    <w:div w:id="300230874">
      <w:bodyDiv w:val="1"/>
      <w:marLeft w:val="0"/>
      <w:marRight w:val="0"/>
      <w:marTop w:val="0"/>
      <w:marBottom w:val="0"/>
      <w:divBdr>
        <w:top w:val="none" w:sz="0" w:space="0" w:color="auto"/>
        <w:left w:val="none" w:sz="0" w:space="0" w:color="auto"/>
        <w:bottom w:val="none" w:sz="0" w:space="0" w:color="auto"/>
        <w:right w:val="none" w:sz="0" w:space="0" w:color="auto"/>
      </w:divBdr>
    </w:div>
    <w:div w:id="430050228">
      <w:bodyDiv w:val="1"/>
      <w:marLeft w:val="0"/>
      <w:marRight w:val="0"/>
      <w:marTop w:val="0"/>
      <w:marBottom w:val="0"/>
      <w:divBdr>
        <w:top w:val="none" w:sz="0" w:space="0" w:color="auto"/>
        <w:left w:val="none" w:sz="0" w:space="0" w:color="auto"/>
        <w:bottom w:val="none" w:sz="0" w:space="0" w:color="auto"/>
        <w:right w:val="none" w:sz="0" w:space="0" w:color="auto"/>
      </w:divBdr>
      <w:divsChild>
        <w:div w:id="1396394945">
          <w:marLeft w:val="446"/>
          <w:marRight w:val="0"/>
          <w:marTop w:val="0"/>
          <w:marBottom w:val="0"/>
          <w:divBdr>
            <w:top w:val="none" w:sz="0" w:space="0" w:color="auto"/>
            <w:left w:val="none" w:sz="0" w:space="0" w:color="auto"/>
            <w:bottom w:val="none" w:sz="0" w:space="0" w:color="auto"/>
            <w:right w:val="none" w:sz="0" w:space="0" w:color="auto"/>
          </w:divBdr>
        </w:div>
        <w:div w:id="2133136344">
          <w:marLeft w:val="446"/>
          <w:marRight w:val="0"/>
          <w:marTop w:val="0"/>
          <w:marBottom w:val="0"/>
          <w:divBdr>
            <w:top w:val="none" w:sz="0" w:space="0" w:color="auto"/>
            <w:left w:val="none" w:sz="0" w:space="0" w:color="auto"/>
            <w:bottom w:val="none" w:sz="0" w:space="0" w:color="auto"/>
            <w:right w:val="none" w:sz="0" w:space="0" w:color="auto"/>
          </w:divBdr>
        </w:div>
        <w:div w:id="1970747496">
          <w:marLeft w:val="446"/>
          <w:marRight w:val="0"/>
          <w:marTop w:val="0"/>
          <w:marBottom w:val="0"/>
          <w:divBdr>
            <w:top w:val="none" w:sz="0" w:space="0" w:color="auto"/>
            <w:left w:val="none" w:sz="0" w:space="0" w:color="auto"/>
            <w:bottom w:val="none" w:sz="0" w:space="0" w:color="auto"/>
            <w:right w:val="none" w:sz="0" w:space="0" w:color="auto"/>
          </w:divBdr>
        </w:div>
        <w:div w:id="2125731629">
          <w:marLeft w:val="446"/>
          <w:marRight w:val="0"/>
          <w:marTop w:val="0"/>
          <w:marBottom w:val="0"/>
          <w:divBdr>
            <w:top w:val="none" w:sz="0" w:space="0" w:color="auto"/>
            <w:left w:val="none" w:sz="0" w:space="0" w:color="auto"/>
            <w:bottom w:val="none" w:sz="0" w:space="0" w:color="auto"/>
            <w:right w:val="none" w:sz="0" w:space="0" w:color="auto"/>
          </w:divBdr>
        </w:div>
      </w:divsChild>
    </w:div>
    <w:div w:id="519776697">
      <w:bodyDiv w:val="1"/>
      <w:marLeft w:val="0"/>
      <w:marRight w:val="0"/>
      <w:marTop w:val="0"/>
      <w:marBottom w:val="0"/>
      <w:divBdr>
        <w:top w:val="none" w:sz="0" w:space="0" w:color="auto"/>
        <w:left w:val="none" w:sz="0" w:space="0" w:color="auto"/>
        <w:bottom w:val="none" w:sz="0" w:space="0" w:color="auto"/>
        <w:right w:val="none" w:sz="0" w:space="0" w:color="auto"/>
      </w:divBdr>
      <w:divsChild>
        <w:div w:id="751321478">
          <w:marLeft w:val="446"/>
          <w:marRight w:val="0"/>
          <w:marTop w:val="0"/>
          <w:marBottom w:val="0"/>
          <w:divBdr>
            <w:top w:val="none" w:sz="0" w:space="0" w:color="auto"/>
            <w:left w:val="none" w:sz="0" w:space="0" w:color="auto"/>
            <w:bottom w:val="none" w:sz="0" w:space="0" w:color="auto"/>
            <w:right w:val="none" w:sz="0" w:space="0" w:color="auto"/>
          </w:divBdr>
        </w:div>
        <w:div w:id="1691182297">
          <w:marLeft w:val="446"/>
          <w:marRight w:val="0"/>
          <w:marTop w:val="0"/>
          <w:marBottom w:val="0"/>
          <w:divBdr>
            <w:top w:val="none" w:sz="0" w:space="0" w:color="auto"/>
            <w:left w:val="none" w:sz="0" w:space="0" w:color="auto"/>
            <w:bottom w:val="none" w:sz="0" w:space="0" w:color="auto"/>
            <w:right w:val="none" w:sz="0" w:space="0" w:color="auto"/>
          </w:divBdr>
        </w:div>
        <w:div w:id="421023859">
          <w:marLeft w:val="446"/>
          <w:marRight w:val="0"/>
          <w:marTop w:val="0"/>
          <w:marBottom w:val="0"/>
          <w:divBdr>
            <w:top w:val="none" w:sz="0" w:space="0" w:color="auto"/>
            <w:left w:val="none" w:sz="0" w:space="0" w:color="auto"/>
            <w:bottom w:val="none" w:sz="0" w:space="0" w:color="auto"/>
            <w:right w:val="none" w:sz="0" w:space="0" w:color="auto"/>
          </w:divBdr>
        </w:div>
        <w:div w:id="1773473093">
          <w:marLeft w:val="446"/>
          <w:marRight w:val="0"/>
          <w:marTop w:val="0"/>
          <w:marBottom w:val="0"/>
          <w:divBdr>
            <w:top w:val="none" w:sz="0" w:space="0" w:color="auto"/>
            <w:left w:val="none" w:sz="0" w:space="0" w:color="auto"/>
            <w:bottom w:val="none" w:sz="0" w:space="0" w:color="auto"/>
            <w:right w:val="none" w:sz="0" w:space="0" w:color="auto"/>
          </w:divBdr>
        </w:div>
      </w:divsChild>
    </w:div>
    <w:div w:id="549078246">
      <w:bodyDiv w:val="1"/>
      <w:marLeft w:val="0"/>
      <w:marRight w:val="0"/>
      <w:marTop w:val="0"/>
      <w:marBottom w:val="0"/>
      <w:divBdr>
        <w:top w:val="none" w:sz="0" w:space="0" w:color="auto"/>
        <w:left w:val="none" w:sz="0" w:space="0" w:color="auto"/>
        <w:bottom w:val="none" w:sz="0" w:space="0" w:color="auto"/>
        <w:right w:val="none" w:sz="0" w:space="0" w:color="auto"/>
      </w:divBdr>
      <w:divsChild>
        <w:div w:id="1967661314">
          <w:marLeft w:val="446"/>
          <w:marRight w:val="0"/>
          <w:marTop w:val="0"/>
          <w:marBottom w:val="0"/>
          <w:divBdr>
            <w:top w:val="none" w:sz="0" w:space="0" w:color="auto"/>
            <w:left w:val="none" w:sz="0" w:space="0" w:color="auto"/>
            <w:bottom w:val="none" w:sz="0" w:space="0" w:color="auto"/>
            <w:right w:val="none" w:sz="0" w:space="0" w:color="auto"/>
          </w:divBdr>
        </w:div>
        <w:div w:id="509686159">
          <w:marLeft w:val="446"/>
          <w:marRight w:val="0"/>
          <w:marTop w:val="0"/>
          <w:marBottom w:val="0"/>
          <w:divBdr>
            <w:top w:val="none" w:sz="0" w:space="0" w:color="auto"/>
            <w:left w:val="none" w:sz="0" w:space="0" w:color="auto"/>
            <w:bottom w:val="none" w:sz="0" w:space="0" w:color="auto"/>
            <w:right w:val="none" w:sz="0" w:space="0" w:color="auto"/>
          </w:divBdr>
        </w:div>
        <w:div w:id="1348487502">
          <w:marLeft w:val="446"/>
          <w:marRight w:val="0"/>
          <w:marTop w:val="0"/>
          <w:marBottom w:val="0"/>
          <w:divBdr>
            <w:top w:val="none" w:sz="0" w:space="0" w:color="auto"/>
            <w:left w:val="none" w:sz="0" w:space="0" w:color="auto"/>
            <w:bottom w:val="none" w:sz="0" w:space="0" w:color="auto"/>
            <w:right w:val="none" w:sz="0" w:space="0" w:color="auto"/>
          </w:divBdr>
        </w:div>
        <w:div w:id="1414468833">
          <w:marLeft w:val="446"/>
          <w:marRight w:val="0"/>
          <w:marTop w:val="0"/>
          <w:marBottom w:val="0"/>
          <w:divBdr>
            <w:top w:val="none" w:sz="0" w:space="0" w:color="auto"/>
            <w:left w:val="none" w:sz="0" w:space="0" w:color="auto"/>
            <w:bottom w:val="none" w:sz="0" w:space="0" w:color="auto"/>
            <w:right w:val="none" w:sz="0" w:space="0" w:color="auto"/>
          </w:divBdr>
        </w:div>
        <w:div w:id="2114864104">
          <w:marLeft w:val="446"/>
          <w:marRight w:val="0"/>
          <w:marTop w:val="0"/>
          <w:marBottom w:val="0"/>
          <w:divBdr>
            <w:top w:val="none" w:sz="0" w:space="0" w:color="auto"/>
            <w:left w:val="none" w:sz="0" w:space="0" w:color="auto"/>
            <w:bottom w:val="none" w:sz="0" w:space="0" w:color="auto"/>
            <w:right w:val="none" w:sz="0" w:space="0" w:color="auto"/>
          </w:divBdr>
        </w:div>
        <w:div w:id="740831590">
          <w:marLeft w:val="446"/>
          <w:marRight w:val="0"/>
          <w:marTop w:val="0"/>
          <w:marBottom w:val="0"/>
          <w:divBdr>
            <w:top w:val="none" w:sz="0" w:space="0" w:color="auto"/>
            <w:left w:val="none" w:sz="0" w:space="0" w:color="auto"/>
            <w:bottom w:val="none" w:sz="0" w:space="0" w:color="auto"/>
            <w:right w:val="none" w:sz="0" w:space="0" w:color="auto"/>
          </w:divBdr>
        </w:div>
        <w:div w:id="1432968526">
          <w:marLeft w:val="446"/>
          <w:marRight w:val="0"/>
          <w:marTop w:val="0"/>
          <w:marBottom w:val="0"/>
          <w:divBdr>
            <w:top w:val="none" w:sz="0" w:space="0" w:color="auto"/>
            <w:left w:val="none" w:sz="0" w:space="0" w:color="auto"/>
            <w:bottom w:val="none" w:sz="0" w:space="0" w:color="auto"/>
            <w:right w:val="none" w:sz="0" w:space="0" w:color="auto"/>
          </w:divBdr>
        </w:div>
      </w:divsChild>
    </w:div>
    <w:div w:id="573509387">
      <w:bodyDiv w:val="1"/>
      <w:marLeft w:val="0"/>
      <w:marRight w:val="0"/>
      <w:marTop w:val="0"/>
      <w:marBottom w:val="0"/>
      <w:divBdr>
        <w:top w:val="none" w:sz="0" w:space="0" w:color="auto"/>
        <w:left w:val="none" w:sz="0" w:space="0" w:color="auto"/>
        <w:bottom w:val="none" w:sz="0" w:space="0" w:color="auto"/>
        <w:right w:val="none" w:sz="0" w:space="0" w:color="auto"/>
      </w:divBdr>
      <w:divsChild>
        <w:div w:id="1816406790">
          <w:marLeft w:val="446"/>
          <w:marRight w:val="0"/>
          <w:marTop w:val="0"/>
          <w:marBottom w:val="0"/>
          <w:divBdr>
            <w:top w:val="none" w:sz="0" w:space="0" w:color="auto"/>
            <w:left w:val="none" w:sz="0" w:space="0" w:color="auto"/>
            <w:bottom w:val="none" w:sz="0" w:space="0" w:color="auto"/>
            <w:right w:val="none" w:sz="0" w:space="0" w:color="auto"/>
          </w:divBdr>
        </w:div>
        <w:div w:id="1834176501">
          <w:marLeft w:val="446"/>
          <w:marRight w:val="0"/>
          <w:marTop w:val="0"/>
          <w:marBottom w:val="0"/>
          <w:divBdr>
            <w:top w:val="none" w:sz="0" w:space="0" w:color="auto"/>
            <w:left w:val="none" w:sz="0" w:space="0" w:color="auto"/>
            <w:bottom w:val="none" w:sz="0" w:space="0" w:color="auto"/>
            <w:right w:val="none" w:sz="0" w:space="0" w:color="auto"/>
          </w:divBdr>
        </w:div>
        <w:div w:id="771625987">
          <w:marLeft w:val="446"/>
          <w:marRight w:val="0"/>
          <w:marTop w:val="0"/>
          <w:marBottom w:val="0"/>
          <w:divBdr>
            <w:top w:val="none" w:sz="0" w:space="0" w:color="auto"/>
            <w:left w:val="none" w:sz="0" w:space="0" w:color="auto"/>
            <w:bottom w:val="none" w:sz="0" w:space="0" w:color="auto"/>
            <w:right w:val="none" w:sz="0" w:space="0" w:color="auto"/>
          </w:divBdr>
        </w:div>
        <w:div w:id="1268737986">
          <w:marLeft w:val="446"/>
          <w:marRight w:val="0"/>
          <w:marTop w:val="0"/>
          <w:marBottom w:val="0"/>
          <w:divBdr>
            <w:top w:val="none" w:sz="0" w:space="0" w:color="auto"/>
            <w:left w:val="none" w:sz="0" w:space="0" w:color="auto"/>
            <w:bottom w:val="none" w:sz="0" w:space="0" w:color="auto"/>
            <w:right w:val="none" w:sz="0" w:space="0" w:color="auto"/>
          </w:divBdr>
        </w:div>
      </w:divsChild>
    </w:div>
    <w:div w:id="579825627">
      <w:bodyDiv w:val="1"/>
      <w:marLeft w:val="0"/>
      <w:marRight w:val="0"/>
      <w:marTop w:val="0"/>
      <w:marBottom w:val="0"/>
      <w:divBdr>
        <w:top w:val="none" w:sz="0" w:space="0" w:color="auto"/>
        <w:left w:val="none" w:sz="0" w:space="0" w:color="auto"/>
        <w:bottom w:val="none" w:sz="0" w:space="0" w:color="auto"/>
        <w:right w:val="none" w:sz="0" w:space="0" w:color="auto"/>
      </w:divBdr>
    </w:div>
    <w:div w:id="627473212">
      <w:bodyDiv w:val="1"/>
      <w:marLeft w:val="0"/>
      <w:marRight w:val="0"/>
      <w:marTop w:val="0"/>
      <w:marBottom w:val="0"/>
      <w:divBdr>
        <w:top w:val="none" w:sz="0" w:space="0" w:color="auto"/>
        <w:left w:val="none" w:sz="0" w:space="0" w:color="auto"/>
        <w:bottom w:val="none" w:sz="0" w:space="0" w:color="auto"/>
        <w:right w:val="none" w:sz="0" w:space="0" w:color="auto"/>
      </w:divBdr>
    </w:div>
    <w:div w:id="669647802">
      <w:bodyDiv w:val="1"/>
      <w:marLeft w:val="0"/>
      <w:marRight w:val="0"/>
      <w:marTop w:val="0"/>
      <w:marBottom w:val="0"/>
      <w:divBdr>
        <w:top w:val="none" w:sz="0" w:space="0" w:color="auto"/>
        <w:left w:val="none" w:sz="0" w:space="0" w:color="auto"/>
        <w:bottom w:val="none" w:sz="0" w:space="0" w:color="auto"/>
        <w:right w:val="none" w:sz="0" w:space="0" w:color="auto"/>
      </w:divBdr>
    </w:div>
    <w:div w:id="673462573">
      <w:bodyDiv w:val="1"/>
      <w:marLeft w:val="0"/>
      <w:marRight w:val="0"/>
      <w:marTop w:val="0"/>
      <w:marBottom w:val="0"/>
      <w:divBdr>
        <w:top w:val="none" w:sz="0" w:space="0" w:color="auto"/>
        <w:left w:val="none" w:sz="0" w:space="0" w:color="auto"/>
        <w:bottom w:val="none" w:sz="0" w:space="0" w:color="auto"/>
        <w:right w:val="none" w:sz="0" w:space="0" w:color="auto"/>
      </w:divBdr>
      <w:divsChild>
        <w:div w:id="1896625857">
          <w:marLeft w:val="446"/>
          <w:marRight w:val="0"/>
          <w:marTop w:val="0"/>
          <w:marBottom w:val="0"/>
          <w:divBdr>
            <w:top w:val="none" w:sz="0" w:space="0" w:color="auto"/>
            <w:left w:val="none" w:sz="0" w:space="0" w:color="auto"/>
            <w:bottom w:val="none" w:sz="0" w:space="0" w:color="auto"/>
            <w:right w:val="none" w:sz="0" w:space="0" w:color="auto"/>
          </w:divBdr>
        </w:div>
        <w:div w:id="1909807998">
          <w:marLeft w:val="446"/>
          <w:marRight w:val="0"/>
          <w:marTop w:val="0"/>
          <w:marBottom w:val="0"/>
          <w:divBdr>
            <w:top w:val="none" w:sz="0" w:space="0" w:color="auto"/>
            <w:left w:val="none" w:sz="0" w:space="0" w:color="auto"/>
            <w:bottom w:val="none" w:sz="0" w:space="0" w:color="auto"/>
            <w:right w:val="none" w:sz="0" w:space="0" w:color="auto"/>
          </w:divBdr>
        </w:div>
        <w:div w:id="723452465">
          <w:marLeft w:val="446"/>
          <w:marRight w:val="0"/>
          <w:marTop w:val="0"/>
          <w:marBottom w:val="0"/>
          <w:divBdr>
            <w:top w:val="none" w:sz="0" w:space="0" w:color="auto"/>
            <w:left w:val="none" w:sz="0" w:space="0" w:color="auto"/>
            <w:bottom w:val="none" w:sz="0" w:space="0" w:color="auto"/>
            <w:right w:val="none" w:sz="0" w:space="0" w:color="auto"/>
          </w:divBdr>
        </w:div>
        <w:div w:id="627056453">
          <w:marLeft w:val="446"/>
          <w:marRight w:val="0"/>
          <w:marTop w:val="0"/>
          <w:marBottom w:val="0"/>
          <w:divBdr>
            <w:top w:val="none" w:sz="0" w:space="0" w:color="auto"/>
            <w:left w:val="none" w:sz="0" w:space="0" w:color="auto"/>
            <w:bottom w:val="none" w:sz="0" w:space="0" w:color="auto"/>
            <w:right w:val="none" w:sz="0" w:space="0" w:color="auto"/>
          </w:divBdr>
        </w:div>
      </w:divsChild>
    </w:div>
    <w:div w:id="709916094">
      <w:bodyDiv w:val="1"/>
      <w:marLeft w:val="0"/>
      <w:marRight w:val="0"/>
      <w:marTop w:val="0"/>
      <w:marBottom w:val="0"/>
      <w:divBdr>
        <w:top w:val="none" w:sz="0" w:space="0" w:color="auto"/>
        <w:left w:val="none" w:sz="0" w:space="0" w:color="auto"/>
        <w:bottom w:val="none" w:sz="0" w:space="0" w:color="auto"/>
        <w:right w:val="none" w:sz="0" w:space="0" w:color="auto"/>
      </w:divBdr>
    </w:div>
    <w:div w:id="718237936">
      <w:bodyDiv w:val="1"/>
      <w:marLeft w:val="0"/>
      <w:marRight w:val="0"/>
      <w:marTop w:val="0"/>
      <w:marBottom w:val="0"/>
      <w:divBdr>
        <w:top w:val="none" w:sz="0" w:space="0" w:color="auto"/>
        <w:left w:val="none" w:sz="0" w:space="0" w:color="auto"/>
        <w:bottom w:val="none" w:sz="0" w:space="0" w:color="auto"/>
        <w:right w:val="none" w:sz="0" w:space="0" w:color="auto"/>
      </w:divBdr>
    </w:div>
    <w:div w:id="721829234">
      <w:bodyDiv w:val="1"/>
      <w:marLeft w:val="0"/>
      <w:marRight w:val="0"/>
      <w:marTop w:val="0"/>
      <w:marBottom w:val="0"/>
      <w:divBdr>
        <w:top w:val="none" w:sz="0" w:space="0" w:color="auto"/>
        <w:left w:val="none" w:sz="0" w:space="0" w:color="auto"/>
        <w:bottom w:val="none" w:sz="0" w:space="0" w:color="auto"/>
        <w:right w:val="none" w:sz="0" w:space="0" w:color="auto"/>
      </w:divBdr>
    </w:div>
    <w:div w:id="797066352">
      <w:bodyDiv w:val="1"/>
      <w:marLeft w:val="0"/>
      <w:marRight w:val="0"/>
      <w:marTop w:val="0"/>
      <w:marBottom w:val="0"/>
      <w:divBdr>
        <w:top w:val="none" w:sz="0" w:space="0" w:color="auto"/>
        <w:left w:val="none" w:sz="0" w:space="0" w:color="auto"/>
        <w:bottom w:val="none" w:sz="0" w:space="0" w:color="auto"/>
        <w:right w:val="none" w:sz="0" w:space="0" w:color="auto"/>
      </w:divBdr>
    </w:div>
    <w:div w:id="807212384">
      <w:bodyDiv w:val="1"/>
      <w:marLeft w:val="0"/>
      <w:marRight w:val="0"/>
      <w:marTop w:val="0"/>
      <w:marBottom w:val="0"/>
      <w:divBdr>
        <w:top w:val="none" w:sz="0" w:space="0" w:color="auto"/>
        <w:left w:val="none" w:sz="0" w:space="0" w:color="auto"/>
        <w:bottom w:val="none" w:sz="0" w:space="0" w:color="auto"/>
        <w:right w:val="none" w:sz="0" w:space="0" w:color="auto"/>
      </w:divBdr>
      <w:divsChild>
        <w:div w:id="228619106">
          <w:marLeft w:val="446"/>
          <w:marRight w:val="0"/>
          <w:marTop w:val="0"/>
          <w:marBottom w:val="0"/>
          <w:divBdr>
            <w:top w:val="none" w:sz="0" w:space="0" w:color="auto"/>
            <w:left w:val="none" w:sz="0" w:space="0" w:color="auto"/>
            <w:bottom w:val="none" w:sz="0" w:space="0" w:color="auto"/>
            <w:right w:val="none" w:sz="0" w:space="0" w:color="auto"/>
          </w:divBdr>
        </w:div>
        <w:div w:id="1830906254">
          <w:marLeft w:val="446"/>
          <w:marRight w:val="0"/>
          <w:marTop w:val="0"/>
          <w:marBottom w:val="0"/>
          <w:divBdr>
            <w:top w:val="none" w:sz="0" w:space="0" w:color="auto"/>
            <w:left w:val="none" w:sz="0" w:space="0" w:color="auto"/>
            <w:bottom w:val="none" w:sz="0" w:space="0" w:color="auto"/>
            <w:right w:val="none" w:sz="0" w:space="0" w:color="auto"/>
          </w:divBdr>
        </w:div>
        <w:div w:id="1184784161">
          <w:marLeft w:val="446"/>
          <w:marRight w:val="0"/>
          <w:marTop w:val="0"/>
          <w:marBottom w:val="0"/>
          <w:divBdr>
            <w:top w:val="none" w:sz="0" w:space="0" w:color="auto"/>
            <w:left w:val="none" w:sz="0" w:space="0" w:color="auto"/>
            <w:bottom w:val="none" w:sz="0" w:space="0" w:color="auto"/>
            <w:right w:val="none" w:sz="0" w:space="0" w:color="auto"/>
          </w:divBdr>
        </w:div>
        <w:div w:id="1262223530">
          <w:marLeft w:val="446"/>
          <w:marRight w:val="0"/>
          <w:marTop w:val="0"/>
          <w:marBottom w:val="0"/>
          <w:divBdr>
            <w:top w:val="none" w:sz="0" w:space="0" w:color="auto"/>
            <w:left w:val="none" w:sz="0" w:space="0" w:color="auto"/>
            <w:bottom w:val="none" w:sz="0" w:space="0" w:color="auto"/>
            <w:right w:val="none" w:sz="0" w:space="0" w:color="auto"/>
          </w:divBdr>
        </w:div>
        <w:div w:id="1191450550">
          <w:marLeft w:val="446"/>
          <w:marRight w:val="0"/>
          <w:marTop w:val="0"/>
          <w:marBottom w:val="0"/>
          <w:divBdr>
            <w:top w:val="none" w:sz="0" w:space="0" w:color="auto"/>
            <w:left w:val="none" w:sz="0" w:space="0" w:color="auto"/>
            <w:bottom w:val="none" w:sz="0" w:space="0" w:color="auto"/>
            <w:right w:val="none" w:sz="0" w:space="0" w:color="auto"/>
          </w:divBdr>
        </w:div>
        <w:div w:id="1739866148">
          <w:marLeft w:val="446"/>
          <w:marRight w:val="0"/>
          <w:marTop w:val="0"/>
          <w:marBottom w:val="0"/>
          <w:divBdr>
            <w:top w:val="none" w:sz="0" w:space="0" w:color="auto"/>
            <w:left w:val="none" w:sz="0" w:space="0" w:color="auto"/>
            <w:bottom w:val="none" w:sz="0" w:space="0" w:color="auto"/>
            <w:right w:val="none" w:sz="0" w:space="0" w:color="auto"/>
          </w:divBdr>
        </w:div>
      </w:divsChild>
    </w:div>
    <w:div w:id="820124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31204154">
      <w:bodyDiv w:val="1"/>
      <w:marLeft w:val="0"/>
      <w:marRight w:val="0"/>
      <w:marTop w:val="0"/>
      <w:marBottom w:val="0"/>
      <w:divBdr>
        <w:top w:val="none" w:sz="0" w:space="0" w:color="auto"/>
        <w:left w:val="none" w:sz="0" w:space="0" w:color="auto"/>
        <w:bottom w:val="none" w:sz="0" w:space="0" w:color="auto"/>
        <w:right w:val="none" w:sz="0" w:space="0" w:color="auto"/>
      </w:divBdr>
    </w:div>
    <w:div w:id="977956385">
      <w:bodyDiv w:val="1"/>
      <w:marLeft w:val="0"/>
      <w:marRight w:val="0"/>
      <w:marTop w:val="0"/>
      <w:marBottom w:val="0"/>
      <w:divBdr>
        <w:top w:val="none" w:sz="0" w:space="0" w:color="auto"/>
        <w:left w:val="none" w:sz="0" w:space="0" w:color="auto"/>
        <w:bottom w:val="none" w:sz="0" w:space="0" w:color="auto"/>
        <w:right w:val="none" w:sz="0" w:space="0" w:color="auto"/>
      </w:divBdr>
      <w:divsChild>
        <w:div w:id="2009401289">
          <w:marLeft w:val="446"/>
          <w:marRight w:val="0"/>
          <w:marTop w:val="0"/>
          <w:marBottom w:val="0"/>
          <w:divBdr>
            <w:top w:val="none" w:sz="0" w:space="0" w:color="auto"/>
            <w:left w:val="none" w:sz="0" w:space="0" w:color="auto"/>
            <w:bottom w:val="none" w:sz="0" w:space="0" w:color="auto"/>
            <w:right w:val="none" w:sz="0" w:space="0" w:color="auto"/>
          </w:divBdr>
        </w:div>
        <w:div w:id="736363717">
          <w:marLeft w:val="446"/>
          <w:marRight w:val="0"/>
          <w:marTop w:val="0"/>
          <w:marBottom w:val="0"/>
          <w:divBdr>
            <w:top w:val="none" w:sz="0" w:space="0" w:color="auto"/>
            <w:left w:val="none" w:sz="0" w:space="0" w:color="auto"/>
            <w:bottom w:val="none" w:sz="0" w:space="0" w:color="auto"/>
            <w:right w:val="none" w:sz="0" w:space="0" w:color="auto"/>
          </w:divBdr>
        </w:div>
        <w:div w:id="1909609190">
          <w:marLeft w:val="446"/>
          <w:marRight w:val="0"/>
          <w:marTop w:val="0"/>
          <w:marBottom w:val="0"/>
          <w:divBdr>
            <w:top w:val="none" w:sz="0" w:space="0" w:color="auto"/>
            <w:left w:val="none" w:sz="0" w:space="0" w:color="auto"/>
            <w:bottom w:val="none" w:sz="0" w:space="0" w:color="auto"/>
            <w:right w:val="none" w:sz="0" w:space="0" w:color="auto"/>
          </w:divBdr>
        </w:div>
        <w:div w:id="1456365388">
          <w:marLeft w:val="446"/>
          <w:marRight w:val="0"/>
          <w:marTop w:val="0"/>
          <w:marBottom w:val="0"/>
          <w:divBdr>
            <w:top w:val="none" w:sz="0" w:space="0" w:color="auto"/>
            <w:left w:val="none" w:sz="0" w:space="0" w:color="auto"/>
            <w:bottom w:val="none" w:sz="0" w:space="0" w:color="auto"/>
            <w:right w:val="none" w:sz="0" w:space="0" w:color="auto"/>
          </w:divBdr>
        </w:div>
        <w:div w:id="1049761752">
          <w:marLeft w:val="446"/>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75779671">
      <w:bodyDiv w:val="1"/>
      <w:marLeft w:val="0"/>
      <w:marRight w:val="0"/>
      <w:marTop w:val="0"/>
      <w:marBottom w:val="0"/>
      <w:divBdr>
        <w:top w:val="none" w:sz="0" w:space="0" w:color="auto"/>
        <w:left w:val="none" w:sz="0" w:space="0" w:color="auto"/>
        <w:bottom w:val="none" w:sz="0" w:space="0" w:color="auto"/>
        <w:right w:val="none" w:sz="0" w:space="0" w:color="auto"/>
      </w:divBdr>
    </w:div>
    <w:div w:id="1088425471">
      <w:bodyDiv w:val="1"/>
      <w:marLeft w:val="0"/>
      <w:marRight w:val="0"/>
      <w:marTop w:val="0"/>
      <w:marBottom w:val="0"/>
      <w:divBdr>
        <w:top w:val="none" w:sz="0" w:space="0" w:color="auto"/>
        <w:left w:val="none" w:sz="0" w:space="0" w:color="auto"/>
        <w:bottom w:val="none" w:sz="0" w:space="0" w:color="auto"/>
        <w:right w:val="none" w:sz="0" w:space="0" w:color="auto"/>
      </w:divBdr>
    </w:div>
    <w:div w:id="1110776892">
      <w:bodyDiv w:val="1"/>
      <w:marLeft w:val="0"/>
      <w:marRight w:val="0"/>
      <w:marTop w:val="0"/>
      <w:marBottom w:val="0"/>
      <w:divBdr>
        <w:top w:val="none" w:sz="0" w:space="0" w:color="auto"/>
        <w:left w:val="none" w:sz="0" w:space="0" w:color="auto"/>
        <w:bottom w:val="none" w:sz="0" w:space="0" w:color="auto"/>
        <w:right w:val="none" w:sz="0" w:space="0" w:color="auto"/>
      </w:divBdr>
    </w:div>
    <w:div w:id="1170802189">
      <w:bodyDiv w:val="1"/>
      <w:marLeft w:val="0"/>
      <w:marRight w:val="0"/>
      <w:marTop w:val="0"/>
      <w:marBottom w:val="0"/>
      <w:divBdr>
        <w:top w:val="none" w:sz="0" w:space="0" w:color="auto"/>
        <w:left w:val="none" w:sz="0" w:space="0" w:color="auto"/>
        <w:bottom w:val="none" w:sz="0" w:space="0" w:color="auto"/>
        <w:right w:val="none" w:sz="0" w:space="0" w:color="auto"/>
      </w:divBdr>
    </w:div>
    <w:div w:id="1171217511">
      <w:bodyDiv w:val="1"/>
      <w:marLeft w:val="0"/>
      <w:marRight w:val="0"/>
      <w:marTop w:val="0"/>
      <w:marBottom w:val="0"/>
      <w:divBdr>
        <w:top w:val="none" w:sz="0" w:space="0" w:color="auto"/>
        <w:left w:val="none" w:sz="0" w:space="0" w:color="auto"/>
        <w:bottom w:val="none" w:sz="0" w:space="0" w:color="auto"/>
        <w:right w:val="none" w:sz="0" w:space="0" w:color="auto"/>
      </w:divBdr>
    </w:div>
    <w:div w:id="1177038557">
      <w:bodyDiv w:val="1"/>
      <w:marLeft w:val="0"/>
      <w:marRight w:val="0"/>
      <w:marTop w:val="0"/>
      <w:marBottom w:val="0"/>
      <w:divBdr>
        <w:top w:val="none" w:sz="0" w:space="0" w:color="auto"/>
        <w:left w:val="none" w:sz="0" w:space="0" w:color="auto"/>
        <w:bottom w:val="none" w:sz="0" w:space="0" w:color="auto"/>
        <w:right w:val="none" w:sz="0" w:space="0" w:color="auto"/>
      </w:divBdr>
    </w:div>
    <w:div w:id="1254896094">
      <w:bodyDiv w:val="1"/>
      <w:marLeft w:val="0"/>
      <w:marRight w:val="0"/>
      <w:marTop w:val="0"/>
      <w:marBottom w:val="0"/>
      <w:divBdr>
        <w:top w:val="none" w:sz="0" w:space="0" w:color="auto"/>
        <w:left w:val="none" w:sz="0" w:space="0" w:color="auto"/>
        <w:bottom w:val="none" w:sz="0" w:space="0" w:color="auto"/>
        <w:right w:val="none" w:sz="0" w:space="0" w:color="auto"/>
      </w:divBdr>
    </w:div>
    <w:div w:id="1277100901">
      <w:bodyDiv w:val="1"/>
      <w:marLeft w:val="0"/>
      <w:marRight w:val="0"/>
      <w:marTop w:val="0"/>
      <w:marBottom w:val="0"/>
      <w:divBdr>
        <w:top w:val="none" w:sz="0" w:space="0" w:color="auto"/>
        <w:left w:val="none" w:sz="0" w:space="0" w:color="auto"/>
        <w:bottom w:val="none" w:sz="0" w:space="0" w:color="auto"/>
        <w:right w:val="none" w:sz="0" w:space="0" w:color="auto"/>
      </w:divBdr>
      <w:divsChild>
        <w:div w:id="1754162117">
          <w:marLeft w:val="446"/>
          <w:marRight w:val="0"/>
          <w:marTop w:val="0"/>
          <w:marBottom w:val="0"/>
          <w:divBdr>
            <w:top w:val="none" w:sz="0" w:space="0" w:color="auto"/>
            <w:left w:val="none" w:sz="0" w:space="0" w:color="auto"/>
            <w:bottom w:val="none" w:sz="0" w:space="0" w:color="auto"/>
            <w:right w:val="none" w:sz="0" w:space="0" w:color="auto"/>
          </w:divBdr>
        </w:div>
        <w:div w:id="1892499347">
          <w:marLeft w:val="446"/>
          <w:marRight w:val="0"/>
          <w:marTop w:val="0"/>
          <w:marBottom w:val="0"/>
          <w:divBdr>
            <w:top w:val="none" w:sz="0" w:space="0" w:color="auto"/>
            <w:left w:val="none" w:sz="0" w:space="0" w:color="auto"/>
            <w:bottom w:val="none" w:sz="0" w:space="0" w:color="auto"/>
            <w:right w:val="none" w:sz="0" w:space="0" w:color="auto"/>
          </w:divBdr>
        </w:div>
        <w:div w:id="51395517">
          <w:marLeft w:val="446"/>
          <w:marRight w:val="0"/>
          <w:marTop w:val="0"/>
          <w:marBottom w:val="0"/>
          <w:divBdr>
            <w:top w:val="none" w:sz="0" w:space="0" w:color="auto"/>
            <w:left w:val="none" w:sz="0" w:space="0" w:color="auto"/>
            <w:bottom w:val="none" w:sz="0" w:space="0" w:color="auto"/>
            <w:right w:val="none" w:sz="0" w:space="0" w:color="auto"/>
          </w:divBdr>
        </w:div>
        <w:div w:id="299580054">
          <w:marLeft w:val="446"/>
          <w:marRight w:val="0"/>
          <w:marTop w:val="0"/>
          <w:marBottom w:val="0"/>
          <w:divBdr>
            <w:top w:val="none" w:sz="0" w:space="0" w:color="auto"/>
            <w:left w:val="none" w:sz="0" w:space="0" w:color="auto"/>
            <w:bottom w:val="none" w:sz="0" w:space="0" w:color="auto"/>
            <w:right w:val="none" w:sz="0" w:space="0" w:color="auto"/>
          </w:divBdr>
        </w:div>
        <w:div w:id="838616424">
          <w:marLeft w:val="446"/>
          <w:marRight w:val="0"/>
          <w:marTop w:val="0"/>
          <w:marBottom w:val="0"/>
          <w:divBdr>
            <w:top w:val="none" w:sz="0" w:space="0" w:color="auto"/>
            <w:left w:val="none" w:sz="0" w:space="0" w:color="auto"/>
            <w:bottom w:val="none" w:sz="0" w:space="0" w:color="auto"/>
            <w:right w:val="none" w:sz="0" w:space="0" w:color="auto"/>
          </w:divBdr>
        </w:div>
        <w:div w:id="2436118">
          <w:marLeft w:val="446"/>
          <w:marRight w:val="0"/>
          <w:marTop w:val="0"/>
          <w:marBottom w:val="0"/>
          <w:divBdr>
            <w:top w:val="none" w:sz="0" w:space="0" w:color="auto"/>
            <w:left w:val="none" w:sz="0" w:space="0" w:color="auto"/>
            <w:bottom w:val="none" w:sz="0" w:space="0" w:color="auto"/>
            <w:right w:val="none" w:sz="0" w:space="0" w:color="auto"/>
          </w:divBdr>
        </w:div>
      </w:divsChild>
    </w:div>
    <w:div w:id="1301301763">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38733784">
      <w:bodyDiv w:val="1"/>
      <w:marLeft w:val="0"/>
      <w:marRight w:val="0"/>
      <w:marTop w:val="0"/>
      <w:marBottom w:val="0"/>
      <w:divBdr>
        <w:top w:val="none" w:sz="0" w:space="0" w:color="auto"/>
        <w:left w:val="none" w:sz="0" w:space="0" w:color="auto"/>
        <w:bottom w:val="none" w:sz="0" w:space="0" w:color="auto"/>
        <w:right w:val="none" w:sz="0" w:space="0" w:color="auto"/>
      </w:divBdr>
    </w:div>
    <w:div w:id="1341614684">
      <w:bodyDiv w:val="1"/>
      <w:marLeft w:val="0"/>
      <w:marRight w:val="0"/>
      <w:marTop w:val="0"/>
      <w:marBottom w:val="0"/>
      <w:divBdr>
        <w:top w:val="none" w:sz="0" w:space="0" w:color="auto"/>
        <w:left w:val="none" w:sz="0" w:space="0" w:color="auto"/>
        <w:bottom w:val="none" w:sz="0" w:space="0" w:color="auto"/>
        <w:right w:val="none" w:sz="0" w:space="0" w:color="auto"/>
      </w:divBdr>
    </w:div>
    <w:div w:id="1347289099">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43573203">
      <w:bodyDiv w:val="1"/>
      <w:marLeft w:val="0"/>
      <w:marRight w:val="0"/>
      <w:marTop w:val="0"/>
      <w:marBottom w:val="0"/>
      <w:divBdr>
        <w:top w:val="none" w:sz="0" w:space="0" w:color="auto"/>
        <w:left w:val="none" w:sz="0" w:space="0" w:color="auto"/>
        <w:bottom w:val="none" w:sz="0" w:space="0" w:color="auto"/>
        <w:right w:val="none" w:sz="0" w:space="0" w:color="auto"/>
      </w:divBdr>
      <w:divsChild>
        <w:div w:id="592591212">
          <w:marLeft w:val="446"/>
          <w:marRight w:val="0"/>
          <w:marTop w:val="120"/>
          <w:marBottom w:val="120"/>
          <w:divBdr>
            <w:top w:val="none" w:sz="0" w:space="0" w:color="auto"/>
            <w:left w:val="none" w:sz="0" w:space="0" w:color="auto"/>
            <w:bottom w:val="none" w:sz="0" w:space="0" w:color="auto"/>
            <w:right w:val="none" w:sz="0" w:space="0" w:color="auto"/>
          </w:divBdr>
        </w:div>
        <w:div w:id="8454365">
          <w:marLeft w:val="446"/>
          <w:marRight w:val="0"/>
          <w:marTop w:val="120"/>
          <w:marBottom w:val="120"/>
          <w:divBdr>
            <w:top w:val="none" w:sz="0" w:space="0" w:color="auto"/>
            <w:left w:val="none" w:sz="0" w:space="0" w:color="auto"/>
            <w:bottom w:val="none" w:sz="0" w:space="0" w:color="auto"/>
            <w:right w:val="none" w:sz="0" w:space="0" w:color="auto"/>
          </w:divBdr>
        </w:div>
        <w:div w:id="925269170">
          <w:marLeft w:val="446"/>
          <w:marRight w:val="0"/>
          <w:marTop w:val="120"/>
          <w:marBottom w:val="120"/>
          <w:divBdr>
            <w:top w:val="none" w:sz="0" w:space="0" w:color="auto"/>
            <w:left w:val="none" w:sz="0" w:space="0" w:color="auto"/>
            <w:bottom w:val="none" w:sz="0" w:space="0" w:color="auto"/>
            <w:right w:val="none" w:sz="0" w:space="0" w:color="auto"/>
          </w:divBdr>
        </w:div>
      </w:divsChild>
    </w:div>
    <w:div w:id="1516579822">
      <w:bodyDiv w:val="1"/>
      <w:marLeft w:val="0"/>
      <w:marRight w:val="0"/>
      <w:marTop w:val="0"/>
      <w:marBottom w:val="0"/>
      <w:divBdr>
        <w:top w:val="none" w:sz="0" w:space="0" w:color="auto"/>
        <w:left w:val="none" w:sz="0" w:space="0" w:color="auto"/>
        <w:bottom w:val="none" w:sz="0" w:space="0" w:color="auto"/>
        <w:right w:val="none" w:sz="0" w:space="0" w:color="auto"/>
      </w:divBdr>
    </w:div>
    <w:div w:id="1580483157">
      <w:bodyDiv w:val="1"/>
      <w:marLeft w:val="0"/>
      <w:marRight w:val="0"/>
      <w:marTop w:val="0"/>
      <w:marBottom w:val="0"/>
      <w:divBdr>
        <w:top w:val="none" w:sz="0" w:space="0" w:color="auto"/>
        <w:left w:val="none" w:sz="0" w:space="0" w:color="auto"/>
        <w:bottom w:val="none" w:sz="0" w:space="0" w:color="auto"/>
        <w:right w:val="none" w:sz="0" w:space="0" w:color="auto"/>
      </w:divBdr>
    </w:div>
    <w:div w:id="1613659488">
      <w:bodyDiv w:val="1"/>
      <w:marLeft w:val="0"/>
      <w:marRight w:val="0"/>
      <w:marTop w:val="0"/>
      <w:marBottom w:val="0"/>
      <w:divBdr>
        <w:top w:val="none" w:sz="0" w:space="0" w:color="auto"/>
        <w:left w:val="none" w:sz="0" w:space="0" w:color="auto"/>
        <w:bottom w:val="none" w:sz="0" w:space="0" w:color="auto"/>
        <w:right w:val="none" w:sz="0" w:space="0" w:color="auto"/>
      </w:divBdr>
    </w:div>
    <w:div w:id="1647468503">
      <w:bodyDiv w:val="1"/>
      <w:marLeft w:val="0"/>
      <w:marRight w:val="0"/>
      <w:marTop w:val="0"/>
      <w:marBottom w:val="0"/>
      <w:divBdr>
        <w:top w:val="none" w:sz="0" w:space="0" w:color="auto"/>
        <w:left w:val="none" w:sz="0" w:space="0" w:color="auto"/>
        <w:bottom w:val="none" w:sz="0" w:space="0" w:color="auto"/>
        <w:right w:val="none" w:sz="0" w:space="0" w:color="auto"/>
      </w:divBdr>
    </w:div>
    <w:div w:id="1699820419">
      <w:bodyDiv w:val="1"/>
      <w:marLeft w:val="0"/>
      <w:marRight w:val="0"/>
      <w:marTop w:val="0"/>
      <w:marBottom w:val="0"/>
      <w:divBdr>
        <w:top w:val="none" w:sz="0" w:space="0" w:color="auto"/>
        <w:left w:val="none" w:sz="0" w:space="0" w:color="auto"/>
        <w:bottom w:val="none" w:sz="0" w:space="0" w:color="auto"/>
        <w:right w:val="none" w:sz="0" w:space="0" w:color="auto"/>
      </w:divBdr>
      <w:divsChild>
        <w:div w:id="2135905980">
          <w:marLeft w:val="446"/>
          <w:marRight w:val="0"/>
          <w:marTop w:val="0"/>
          <w:marBottom w:val="0"/>
          <w:divBdr>
            <w:top w:val="none" w:sz="0" w:space="0" w:color="auto"/>
            <w:left w:val="none" w:sz="0" w:space="0" w:color="auto"/>
            <w:bottom w:val="none" w:sz="0" w:space="0" w:color="auto"/>
            <w:right w:val="none" w:sz="0" w:space="0" w:color="auto"/>
          </w:divBdr>
        </w:div>
        <w:div w:id="371226472">
          <w:marLeft w:val="446"/>
          <w:marRight w:val="0"/>
          <w:marTop w:val="0"/>
          <w:marBottom w:val="0"/>
          <w:divBdr>
            <w:top w:val="none" w:sz="0" w:space="0" w:color="auto"/>
            <w:left w:val="none" w:sz="0" w:space="0" w:color="auto"/>
            <w:bottom w:val="none" w:sz="0" w:space="0" w:color="auto"/>
            <w:right w:val="none" w:sz="0" w:space="0" w:color="auto"/>
          </w:divBdr>
        </w:div>
        <w:div w:id="207304232">
          <w:marLeft w:val="720"/>
          <w:marRight w:val="0"/>
          <w:marTop w:val="0"/>
          <w:marBottom w:val="0"/>
          <w:divBdr>
            <w:top w:val="none" w:sz="0" w:space="0" w:color="auto"/>
            <w:left w:val="none" w:sz="0" w:space="0" w:color="auto"/>
            <w:bottom w:val="none" w:sz="0" w:space="0" w:color="auto"/>
            <w:right w:val="none" w:sz="0" w:space="0" w:color="auto"/>
          </w:divBdr>
        </w:div>
        <w:div w:id="727344962">
          <w:marLeft w:val="720"/>
          <w:marRight w:val="0"/>
          <w:marTop w:val="0"/>
          <w:marBottom w:val="0"/>
          <w:divBdr>
            <w:top w:val="none" w:sz="0" w:space="0" w:color="auto"/>
            <w:left w:val="none" w:sz="0" w:space="0" w:color="auto"/>
            <w:bottom w:val="none" w:sz="0" w:space="0" w:color="auto"/>
            <w:right w:val="none" w:sz="0" w:space="0" w:color="auto"/>
          </w:divBdr>
        </w:div>
        <w:div w:id="74934258">
          <w:marLeft w:val="720"/>
          <w:marRight w:val="0"/>
          <w:marTop w:val="0"/>
          <w:marBottom w:val="0"/>
          <w:divBdr>
            <w:top w:val="none" w:sz="0" w:space="0" w:color="auto"/>
            <w:left w:val="none" w:sz="0" w:space="0" w:color="auto"/>
            <w:bottom w:val="none" w:sz="0" w:space="0" w:color="auto"/>
            <w:right w:val="none" w:sz="0" w:space="0" w:color="auto"/>
          </w:divBdr>
        </w:div>
      </w:divsChild>
    </w:div>
    <w:div w:id="1700861421">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7531183">
      <w:bodyDiv w:val="1"/>
      <w:marLeft w:val="0"/>
      <w:marRight w:val="0"/>
      <w:marTop w:val="0"/>
      <w:marBottom w:val="0"/>
      <w:divBdr>
        <w:top w:val="none" w:sz="0" w:space="0" w:color="auto"/>
        <w:left w:val="none" w:sz="0" w:space="0" w:color="auto"/>
        <w:bottom w:val="none" w:sz="0" w:space="0" w:color="auto"/>
        <w:right w:val="none" w:sz="0" w:space="0" w:color="auto"/>
      </w:divBdr>
      <w:divsChild>
        <w:div w:id="226116128">
          <w:marLeft w:val="446"/>
          <w:marRight w:val="0"/>
          <w:marTop w:val="0"/>
          <w:marBottom w:val="0"/>
          <w:divBdr>
            <w:top w:val="none" w:sz="0" w:space="0" w:color="auto"/>
            <w:left w:val="none" w:sz="0" w:space="0" w:color="auto"/>
            <w:bottom w:val="none" w:sz="0" w:space="0" w:color="auto"/>
            <w:right w:val="none" w:sz="0" w:space="0" w:color="auto"/>
          </w:divBdr>
        </w:div>
        <w:div w:id="168451594">
          <w:marLeft w:val="446"/>
          <w:marRight w:val="0"/>
          <w:marTop w:val="0"/>
          <w:marBottom w:val="0"/>
          <w:divBdr>
            <w:top w:val="none" w:sz="0" w:space="0" w:color="auto"/>
            <w:left w:val="none" w:sz="0" w:space="0" w:color="auto"/>
            <w:bottom w:val="none" w:sz="0" w:space="0" w:color="auto"/>
            <w:right w:val="none" w:sz="0" w:space="0" w:color="auto"/>
          </w:divBdr>
        </w:div>
        <w:div w:id="1078941209">
          <w:marLeft w:val="446"/>
          <w:marRight w:val="0"/>
          <w:marTop w:val="0"/>
          <w:marBottom w:val="0"/>
          <w:divBdr>
            <w:top w:val="none" w:sz="0" w:space="0" w:color="auto"/>
            <w:left w:val="none" w:sz="0" w:space="0" w:color="auto"/>
            <w:bottom w:val="none" w:sz="0" w:space="0" w:color="auto"/>
            <w:right w:val="none" w:sz="0" w:space="0" w:color="auto"/>
          </w:divBdr>
        </w:div>
        <w:div w:id="1685932407">
          <w:marLeft w:val="446"/>
          <w:marRight w:val="0"/>
          <w:marTop w:val="0"/>
          <w:marBottom w:val="0"/>
          <w:divBdr>
            <w:top w:val="none" w:sz="0" w:space="0" w:color="auto"/>
            <w:left w:val="none" w:sz="0" w:space="0" w:color="auto"/>
            <w:bottom w:val="none" w:sz="0" w:space="0" w:color="auto"/>
            <w:right w:val="none" w:sz="0" w:space="0" w:color="auto"/>
          </w:divBdr>
        </w:div>
        <w:div w:id="2124225297">
          <w:marLeft w:val="446"/>
          <w:marRight w:val="0"/>
          <w:marTop w:val="0"/>
          <w:marBottom w:val="0"/>
          <w:divBdr>
            <w:top w:val="none" w:sz="0" w:space="0" w:color="auto"/>
            <w:left w:val="none" w:sz="0" w:space="0" w:color="auto"/>
            <w:bottom w:val="none" w:sz="0" w:space="0" w:color="auto"/>
            <w:right w:val="none" w:sz="0" w:space="0" w:color="auto"/>
          </w:divBdr>
        </w:div>
        <w:div w:id="1217470280">
          <w:marLeft w:val="446"/>
          <w:marRight w:val="0"/>
          <w:marTop w:val="0"/>
          <w:marBottom w:val="0"/>
          <w:divBdr>
            <w:top w:val="none" w:sz="0" w:space="0" w:color="auto"/>
            <w:left w:val="none" w:sz="0" w:space="0" w:color="auto"/>
            <w:bottom w:val="none" w:sz="0" w:space="0" w:color="auto"/>
            <w:right w:val="none" w:sz="0" w:space="0" w:color="auto"/>
          </w:divBdr>
        </w:div>
        <w:div w:id="943727297">
          <w:marLeft w:val="446"/>
          <w:marRight w:val="0"/>
          <w:marTop w:val="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11510202">
      <w:bodyDiv w:val="1"/>
      <w:marLeft w:val="0"/>
      <w:marRight w:val="0"/>
      <w:marTop w:val="0"/>
      <w:marBottom w:val="0"/>
      <w:divBdr>
        <w:top w:val="none" w:sz="0" w:space="0" w:color="auto"/>
        <w:left w:val="none" w:sz="0" w:space="0" w:color="auto"/>
        <w:bottom w:val="none" w:sz="0" w:space="0" w:color="auto"/>
        <w:right w:val="none" w:sz="0" w:space="0" w:color="auto"/>
      </w:divBdr>
    </w:div>
    <w:div w:id="1909337458">
      <w:bodyDiv w:val="1"/>
      <w:marLeft w:val="0"/>
      <w:marRight w:val="0"/>
      <w:marTop w:val="0"/>
      <w:marBottom w:val="0"/>
      <w:divBdr>
        <w:top w:val="none" w:sz="0" w:space="0" w:color="auto"/>
        <w:left w:val="none" w:sz="0" w:space="0" w:color="auto"/>
        <w:bottom w:val="none" w:sz="0" w:space="0" w:color="auto"/>
        <w:right w:val="none" w:sz="0" w:space="0" w:color="auto"/>
      </w:divBdr>
    </w:div>
    <w:div w:id="1925259840">
      <w:bodyDiv w:val="1"/>
      <w:marLeft w:val="0"/>
      <w:marRight w:val="0"/>
      <w:marTop w:val="0"/>
      <w:marBottom w:val="0"/>
      <w:divBdr>
        <w:top w:val="none" w:sz="0" w:space="0" w:color="auto"/>
        <w:left w:val="none" w:sz="0" w:space="0" w:color="auto"/>
        <w:bottom w:val="none" w:sz="0" w:space="0" w:color="auto"/>
        <w:right w:val="none" w:sz="0" w:space="0" w:color="auto"/>
      </w:divBdr>
      <w:divsChild>
        <w:div w:id="123230986">
          <w:marLeft w:val="446"/>
          <w:marRight w:val="0"/>
          <w:marTop w:val="0"/>
          <w:marBottom w:val="0"/>
          <w:divBdr>
            <w:top w:val="none" w:sz="0" w:space="0" w:color="auto"/>
            <w:left w:val="none" w:sz="0" w:space="0" w:color="auto"/>
            <w:bottom w:val="none" w:sz="0" w:space="0" w:color="auto"/>
            <w:right w:val="none" w:sz="0" w:space="0" w:color="auto"/>
          </w:divBdr>
        </w:div>
        <w:div w:id="366221070">
          <w:marLeft w:val="446"/>
          <w:marRight w:val="0"/>
          <w:marTop w:val="0"/>
          <w:marBottom w:val="0"/>
          <w:divBdr>
            <w:top w:val="none" w:sz="0" w:space="0" w:color="auto"/>
            <w:left w:val="none" w:sz="0" w:space="0" w:color="auto"/>
            <w:bottom w:val="none" w:sz="0" w:space="0" w:color="auto"/>
            <w:right w:val="none" w:sz="0" w:space="0" w:color="auto"/>
          </w:divBdr>
        </w:div>
        <w:div w:id="288978887">
          <w:marLeft w:val="446"/>
          <w:marRight w:val="0"/>
          <w:marTop w:val="0"/>
          <w:marBottom w:val="0"/>
          <w:divBdr>
            <w:top w:val="none" w:sz="0" w:space="0" w:color="auto"/>
            <w:left w:val="none" w:sz="0" w:space="0" w:color="auto"/>
            <w:bottom w:val="none" w:sz="0" w:space="0" w:color="auto"/>
            <w:right w:val="none" w:sz="0" w:space="0" w:color="auto"/>
          </w:divBdr>
        </w:div>
        <w:div w:id="118113762">
          <w:marLeft w:val="446"/>
          <w:marRight w:val="0"/>
          <w:marTop w:val="0"/>
          <w:marBottom w:val="0"/>
          <w:divBdr>
            <w:top w:val="none" w:sz="0" w:space="0" w:color="auto"/>
            <w:left w:val="none" w:sz="0" w:space="0" w:color="auto"/>
            <w:bottom w:val="none" w:sz="0" w:space="0" w:color="auto"/>
            <w:right w:val="none" w:sz="0" w:space="0" w:color="auto"/>
          </w:divBdr>
        </w:div>
        <w:div w:id="2145004287">
          <w:marLeft w:val="1166"/>
          <w:marRight w:val="0"/>
          <w:marTop w:val="0"/>
          <w:marBottom w:val="0"/>
          <w:divBdr>
            <w:top w:val="none" w:sz="0" w:space="0" w:color="auto"/>
            <w:left w:val="none" w:sz="0" w:space="0" w:color="auto"/>
            <w:bottom w:val="none" w:sz="0" w:space="0" w:color="auto"/>
            <w:right w:val="none" w:sz="0" w:space="0" w:color="auto"/>
          </w:divBdr>
        </w:div>
        <w:div w:id="1053043420">
          <w:marLeft w:val="1166"/>
          <w:marRight w:val="0"/>
          <w:marTop w:val="0"/>
          <w:marBottom w:val="0"/>
          <w:divBdr>
            <w:top w:val="none" w:sz="0" w:space="0" w:color="auto"/>
            <w:left w:val="none" w:sz="0" w:space="0" w:color="auto"/>
            <w:bottom w:val="none" w:sz="0" w:space="0" w:color="auto"/>
            <w:right w:val="none" w:sz="0" w:space="0" w:color="auto"/>
          </w:divBdr>
        </w:div>
        <w:div w:id="859246678">
          <w:marLeft w:val="1166"/>
          <w:marRight w:val="0"/>
          <w:marTop w:val="0"/>
          <w:marBottom w:val="0"/>
          <w:divBdr>
            <w:top w:val="none" w:sz="0" w:space="0" w:color="auto"/>
            <w:left w:val="none" w:sz="0" w:space="0" w:color="auto"/>
            <w:bottom w:val="none" w:sz="0" w:space="0" w:color="auto"/>
            <w:right w:val="none" w:sz="0" w:space="0" w:color="auto"/>
          </w:divBdr>
        </w:div>
        <w:div w:id="29959120">
          <w:marLeft w:val="446"/>
          <w:marRight w:val="0"/>
          <w:marTop w:val="0"/>
          <w:marBottom w:val="0"/>
          <w:divBdr>
            <w:top w:val="none" w:sz="0" w:space="0" w:color="auto"/>
            <w:left w:val="none" w:sz="0" w:space="0" w:color="auto"/>
            <w:bottom w:val="none" w:sz="0" w:space="0" w:color="auto"/>
            <w:right w:val="none" w:sz="0" w:space="0" w:color="auto"/>
          </w:divBdr>
        </w:div>
      </w:divsChild>
    </w:div>
    <w:div w:id="2021928885">
      <w:bodyDiv w:val="1"/>
      <w:marLeft w:val="0"/>
      <w:marRight w:val="0"/>
      <w:marTop w:val="0"/>
      <w:marBottom w:val="0"/>
      <w:divBdr>
        <w:top w:val="none" w:sz="0" w:space="0" w:color="auto"/>
        <w:left w:val="none" w:sz="0" w:space="0" w:color="auto"/>
        <w:bottom w:val="none" w:sz="0" w:space="0" w:color="auto"/>
        <w:right w:val="none" w:sz="0" w:space="0" w:color="auto"/>
      </w:divBdr>
      <w:divsChild>
        <w:div w:id="2096784463">
          <w:marLeft w:val="547"/>
          <w:marRight w:val="0"/>
          <w:marTop w:val="0"/>
          <w:marBottom w:val="0"/>
          <w:divBdr>
            <w:top w:val="none" w:sz="0" w:space="0" w:color="auto"/>
            <w:left w:val="none" w:sz="0" w:space="0" w:color="auto"/>
            <w:bottom w:val="none" w:sz="0" w:space="0" w:color="auto"/>
            <w:right w:val="none" w:sz="0" w:space="0" w:color="auto"/>
          </w:divBdr>
        </w:div>
        <w:div w:id="105317174">
          <w:marLeft w:val="547"/>
          <w:marRight w:val="0"/>
          <w:marTop w:val="0"/>
          <w:marBottom w:val="0"/>
          <w:divBdr>
            <w:top w:val="none" w:sz="0" w:space="0" w:color="auto"/>
            <w:left w:val="none" w:sz="0" w:space="0" w:color="auto"/>
            <w:bottom w:val="none" w:sz="0" w:space="0" w:color="auto"/>
            <w:right w:val="none" w:sz="0" w:space="0" w:color="auto"/>
          </w:divBdr>
        </w:div>
        <w:div w:id="799811089">
          <w:marLeft w:val="547"/>
          <w:marRight w:val="0"/>
          <w:marTop w:val="0"/>
          <w:marBottom w:val="0"/>
          <w:divBdr>
            <w:top w:val="none" w:sz="0" w:space="0" w:color="auto"/>
            <w:left w:val="none" w:sz="0" w:space="0" w:color="auto"/>
            <w:bottom w:val="none" w:sz="0" w:space="0" w:color="auto"/>
            <w:right w:val="none" w:sz="0" w:space="0" w:color="auto"/>
          </w:divBdr>
        </w:div>
        <w:div w:id="126438005">
          <w:marLeft w:val="547"/>
          <w:marRight w:val="0"/>
          <w:marTop w:val="0"/>
          <w:marBottom w:val="0"/>
          <w:divBdr>
            <w:top w:val="none" w:sz="0" w:space="0" w:color="auto"/>
            <w:left w:val="none" w:sz="0" w:space="0" w:color="auto"/>
            <w:bottom w:val="none" w:sz="0" w:space="0" w:color="auto"/>
            <w:right w:val="none" w:sz="0" w:space="0" w:color="auto"/>
          </w:divBdr>
        </w:div>
        <w:div w:id="593246361">
          <w:marLeft w:val="547"/>
          <w:marRight w:val="0"/>
          <w:marTop w:val="0"/>
          <w:marBottom w:val="0"/>
          <w:divBdr>
            <w:top w:val="none" w:sz="0" w:space="0" w:color="auto"/>
            <w:left w:val="none" w:sz="0" w:space="0" w:color="auto"/>
            <w:bottom w:val="none" w:sz="0" w:space="0" w:color="auto"/>
            <w:right w:val="none" w:sz="0" w:space="0" w:color="auto"/>
          </w:divBdr>
        </w:div>
        <w:div w:id="1860118166">
          <w:marLeft w:val="547"/>
          <w:marRight w:val="0"/>
          <w:marTop w:val="0"/>
          <w:marBottom w:val="0"/>
          <w:divBdr>
            <w:top w:val="none" w:sz="0" w:space="0" w:color="auto"/>
            <w:left w:val="none" w:sz="0" w:space="0" w:color="auto"/>
            <w:bottom w:val="none" w:sz="0" w:space="0" w:color="auto"/>
            <w:right w:val="none" w:sz="0" w:space="0" w:color="auto"/>
          </w:divBdr>
        </w:div>
        <w:div w:id="1927153941">
          <w:marLeft w:val="547"/>
          <w:marRight w:val="0"/>
          <w:marTop w:val="0"/>
          <w:marBottom w:val="0"/>
          <w:divBdr>
            <w:top w:val="none" w:sz="0" w:space="0" w:color="auto"/>
            <w:left w:val="none" w:sz="0" w:space="0" w:color="auto"/>
            <w:bottom w:val="none" w:sz="0" w:space="0" w:color="auto"/>
            <w:right w:val="none" w:sz="0" w:space="0" w:color="auto"/>
          </w:divBdr>
        </w:div>
        <w:div w:id="1215386636">
          <w:marLeft w:val="547"/>
          <w:marRight w:val="0"/>
          <w:marTop w:val="0"/>
          <w:marBottom w:val="0"/>
          <w:divBdr>
            <w:top w:val="none" w:sz="0" w:space="0" w:color="auto"/>
            <w:left w:val="none" w:sz="0" w:space="0" w:color="auto"/>
            <w:bottom w:val="none" w:sz="0" w:space="0" w:color="auto"/>
            <w:right w:val="none" w:sz="0" w:space="0" w:color="auto"/>
          </w:divBdr>
        </w:div>
      </w:divsChild>
    </w:div>
    <w:div w:id="2032295527">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02555783">
      <w:bodyDiv w:val="1"/>
      <w:marLeft w:val="0"/>
      <w:marRight w:val="0"/>
      <w:marTop w:val="0"/>
      <w:marBottom w:val="0"/>
      <w:divBdr>
        <w:top w:val="none" w:sz="0" w:space="0" w:color="auto"/>
        <w:left w:val="none" w:sz="0" w:space="0" w:color="auto"/>
        <w:bottom w:val="none" w:sz="0" w:space="0" w:color="auto"/>
        <w:right w:val="none" w:sz="0" w:space="0" w:color="auto"/>
      </w:divBdr>
    </w:div>
    <w:div w:id="21309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Joint/National_Disability_Insurance_Scheme/Independentliving/Report" TargetMode="External"/><Relationship Id="rId13" Type="http://schemas.openxmlformats.org/officeDocument/2006/relationships/hyperlink" Target="https://www.consumer.vic.gov.au/housing/renting/types-of-rental-agreements/specialist-disability-accommodation/for-providers/resources-for-sda-providers" TargetMode="External"/><Relationship Id="rId18" Type="http://schemas.openxmlformats.org/officeDocument/2006/relationships/hyperlink" Target="https://www.ndiscommission.gov.au/document/9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discommission.gov.au/document/986" TargetMode="External"/><Relationship Id="rId12" Type="http://schemas.openxmlformats.org/officeDocument/2006/relationships/hyperlink" Target="https://www.consumer.vic.gov.au/housing/renting/types-of-rental-agreements/specialist-disability-accommodation/for-providers/resources-for-sda-providers" TargetMode="External"/><Relationship Id="rId17" Type="http://schemas.openxmlformats.org/officeDocument/2006/relationships/hyperlink" Target="http://www5.austlii.edu.au/au/legis/vic/consol_act/rta1997207/s498m.html" TargetMode="External"/><Relationship Id="rId2" Type="http://schemas.openxmlformats.org/officeDocument/2006/relationships/styles" Target="styles.xml"/><Relationship Id="rId16" Type="http://schemas.openxmlformats.org/officeDocument/2006/relationships/hyperlink" Target="https://www.consumer.vic.gov.au/housing/renting/types-of-rental-agreements/specialist-disability-accommodation/for-providers/notices-to-end-an-sda-residency-provid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vic.gov.au/housing/renting/types-of-rental-agreements/specialist-disability-accommodation/for-providers/resources-for-sda-providers" TargetMode="External"/><Relationship Id="rId5" Type="http://schemas.openxmlformats.org/officeDocument/2006/relationships/footnotes" Target="footnotes.xml"/><Relationship Id="rId15" Type="http://schemas.openxmlformats.org/officeDocument/2006/relationships/hyperlink" Target="http://www5.austlii.edu.au/au/legis/vic/consol_act/rta1997207/s498zy.html" TargetMode="External"/><Relationship Id="rId10" Type="http://schemas.openxmlformats.org/officeDocument/2006/relationships/hyperlink" Target="https://www.consumer.vic.gov.au/housing/renting/types-of-rental-agreements/specialist-disability-accommodation/for-providers/resources-for-sda-providers" TargetMode="External"/><Relationship Id="rId19" Type="http://schemas.openxmlformats.org/officeDocument/2006/relationships/hyperlink" Target="https://www.ndiscommission.gov.au/document/986" TargetMode="External"/><Relationship Id="rId4" Type="http://schemas.openxmlformats.org/officeDocument/2006/relationships/webSettings" Target="webSettings.xml"/><Relationship Id="rId9" Type="http://schemas.openxmlformats.org/officeDocument/2006/relationships/hyperlink" Target="http://www5.austlii.edu.au/au/legis/vic/consol_reg/rtdar2019632/sch1.html" TargetMode="External"/><Relationship Id="rId14" Type="http://schemas.openxmlformats.org/officeDocument/2006/relationships/hyperlink" Target="http://www5.austlii.edu.au/au/legis/vic/consol_act/rta19972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76EF05F9.dotm</Template>
  <TotalTime>1</TotalTime>
  <Pages>7</Pages>
  <Words>2095</Words>
  <Characters>11946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2019-09-24T04:06:00Z</cp:lastPrinted>
  <dcterms:created xsi:type="dcterms:W3CDTF">2020-06-14T23:41:00Z</dcterms:created>
  <dcterms:modified xsi:type="dcterms:W3CDTF">2020-06-14T23:41:00Z</dcterms:modified>
</cp:coreProperties>
</file>