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283A0" w14:textId="04A885E7" w:rsidR="00BF1C13" w:rsidRPr="00656387" w:rsidRDefault="00BF1C13" w:rsidP="00BF1C13">
      <w:pPr>
        <w:pStyle w:val="Title"/>
        <w:rPr>
          <w:rFonts w:eastAsia="Calibri"/>
        </w:rPr>
      </w:pPr>
      <w:bookmarkStart w:id="0" w:name="_Hlk157159293"/>
      <w:r w:rsidRPr="00656387">
        <w:rPr>
          <w:rFonts w:eastAsia="Calibri"/>
        </w:rPr>
        <w:t>Talking about Safer Services:</w:t>
      </w:r>
      <w:r>
        <w:rPr>
          <w:rFonts w:eastAsia="Calibri"/>
        </w:rPr>
        <w:t xml:space="preserve"> </w:t>
      </w:r>
      <w:r w:rsidRPr="00656387">
        <w:rPr>
          <w:rFonts w:eastAsia="Calibri"/>
        </w:rPr>
        <w:t>Facilitator’s Guide</w:t>
      </w:r>
      <w:r>
        <w:rPr>
          <w:rFonts w:eastAsia="Calibri"/>
        </w:rPr>
        <w:t xml:space="preserve"> </w:t>
      </w:r>
    </w:p>
    <w:bookmarkEnd w:id="0"/>
    <w:p w14:paraId="39A88CCC" w14:textId="7B61299E" w:rsidR="00490A36" w:rsidRDefault="007B6BDF" w:rsidP="00C21871">
      <w:pPr>
        <w:spacing w:before="120" w:after="240"/>
      </w:pPr>
      <w:r>
        <w:t>The guide is general in nature and is a starting point and developed to add to your existing training in preventing and responding to abuse.</w:t>
      </w:r>
    </w:p>
    <w:p w14:paraId="5FA4E226" w14:textId="77777777" w:rsidR="001E601C" w:rsidRPr="00C51D27" w:rsidRDefault="001E601C" w:rsidP="00C21871">
      <w:pPr>
        <w:pStyle w:val="Heading1"/>
        <w:rPr>
          <w:rFonts w:eastAsia="Calibri"/>
        </w:rPr>
      </w:pPr>
      <w:r w:rsidRPr="00C51D27">
        <w:rPr>
          <w:rFonts w:eastAsia="Calibri"/>
        </w:rPr>
        <w:t>Who is this for?</w:t>
      </w:r>
    </w:p>
    <w:p w14:paraId="3051F27E" w14:textId="77777777" w:rsidR="001E601C" w:rsidRDefault="00F62B43" w:rsidP="00C21871">
      <w:pPr>
        <w:spacing w:before="120" w:after="240"/>
      </w:pPr>
      <w:r>
        <w:t xml:space="preserve">Talking about Safer Services is a guided reflective discussion for direct support workers. It has been developed as an introduction to some of the key concepts and responsibilities that support workers should be aware of. </w:t>
      </w:r>
    </w:p>
    <w:p w14:paraId="52D0A550" w14:textId="77777777" w:rsidR="001E601C" w:rsidRDefault="001E601C" w:rsidP="00C21871">
      <w:pPr>
        <w:spacing w:before="120" w:after="120"/>
        <w:rPr>
          <w:rFonts w:cs="Arial"/>
          <w:bCs/>
        </w:rPr>
      </w:pPr>
      <w:r>
        <w:rPr>
          <w:rFonts w:cs="Arial"/>
          <w:bCs/>
        </w:rPr>
        <w:t>This guide has been developed to use alongside:</w:t>
      </w:r>
    </w:p>
    <w:p w14:paraId="2962CA3A" w14:textId="77777777" w:rsidR="001E601C" w:rsidRPr="00C168B0" w:rsidRDefault="001E601C" w:rsidP="00C21871">
      <w:pPr>
        <w:pStyle w:val="ListParagraph"/>
        <w:numPr>
          <w:ilvl w:val="0"/>
          <w:numId w:val="28"/>
        </w:numPr>
        <w:spacing w:before="120" w:after="120"/>
        <w:ind w:right="170"/>
        <w:contextualSpacing w:val="0"/>
        <w:rPr>
          <w:rFonts w:eastAsia="Calibri" w:cs="Arial"/>
          <w:b/>
          <w:szCs w:val="24"/>
        </w:rPr>
      </w:pPr>
      <w:r w:rsidRPr="00C168B0">
        <w:rPr>
          <w:rFonts w:eastAsia="Calibri" w:cs="Arial"/>
          <w:b/>
          <w:szCs w:val="24"/>
        </w:rPr>
        <w:t xml:space="preserve">Talking and Safer Services PowerPoint Presentation </w:t>
      </w:r>
    </w:p>
    <w:p w14:paraId="4DF4D695" w14:textId="77777777" w:rsidR="001E601C" w:rsidRPr="00C168B0" w:rsidRDefault="001E601C" w:rsidP="00B16B39">
      <w:pPr>
        <w:pStyle w:val="ListParagraph"/>
        <w:numPr>
          <w:ilvl w:val="0"/>
          <w:numId w:val="28"/>
        </w:numPr>
        <w:spacing w:before="120" w:after="240"/>
        <w:ind w:left="527" w:right="170" w:hanging="357"/>
        <w:contextualSpacing w:val="0"/>
        <w:rPr>
          <w:rFonts w:eastAsia="Calibri" w:cs="Arial"/>
          <w:b/>
          <w:szCs w:val="24"/>
        </w:rPr>
      </w:pPr>
      <w:r w:rsidRPr="00C168B0">
        <w:rPr>
          <w:rFonts w:eastAsia="Calibri" w:cs="Arial"/>
          <w:b/>
          <w:szCs w:val="24"/>
        </w:rPr>
        <w:t xml:space="preserve">Talking about Safer Services Supported Decision Making Worksheet </w:t>
      </w:r>
    </w:p>
    <w:p w14:paraId="3A02F3C0" w14:textId="1AB8AF70" w:rsidR="00C21871" w:rsidRDefault="00C21871" w:rsidP="00C168B0">
      <w:r>
        <w:t>The guide is general in nature and is a starting point and developed to add to your existing training in preventing and responding to abuse.</w:t>
      </w:r>
      <w:r w:rsidR="0053580E">
        <w:t xml:space="preserve"> </w:t>
      </w:r>
    </w:p>
    <w:p w14:paraId="7AFA13EB" w14:textId="66DB22C4" w:rsidR="00C21871" w:rsidRDefault="00C21871">
      <w:pPr>
        <w:spacing w:after="160" w:line="259" w:lineRule="auto"/>
        <w:rPr>
          <w:rFonts w:eastAsia="Calibri" w:cs="Arial"/>
          <w:bCs/>
          <w:sz w:val="26"/>
          <w:szCs w:val="26"/>
        </w:rPr>
      </w:pPr>
      <w:r>
        <w:rPr>
          <w:rFonts w:eastAsia="Calibri" w:cs="Arial"/>
          <w:bCs/>
          <w:sz w:val="26"/>
          <w:szCs w:val="26"/>
        </w:rPr>
        <w:br w:type="page"/>
      </w:r>
    </w:p>
    <w:p w14:paraId="4D15E699" w14:textId="77777777" w:rsidR="00783124" w:rsidRDefault="00783124" w:rsidP="00783124">
      <w:pPr>
        <w:pStyle w:val="Heading1"/>
        <w:rPr>
          <w:rFonts w:eastAsia="Calibri"/>
        </w:rPr>
      </w:pPr>
      <w:r w:rsidRPr="008566E2">
        <w:rPr>
          <w:rFonts w:eastAsia="Calibri"/>
        </w:rPr>
        <w:lastRenderedPageBreak/>
        <w:t xml:space="preserve">Talking about Safer Services presentation: Facilitator’s Guide </w:t>
      </w:r>
    </w:p>
    <w:p w14:paraId="5C3C6AB3" w14:textId="77777777" w:rsidR="00783124" w:rsidRPr="0044193B" w:rsidRDefault="00783124" w:rsidP="00783124">
      <w:pPr>
        <w:pStyle w:val="Heading2"/>
        <w:rPr>
          <w:rFonts w:eastAsia="Calibri"/>
        </w:rPr>
      </w:pPr>
      <w:r w:rsidRPr="0044193B">
        <w:rPr>
          <w:rFonts w:eastAsia="Calibri"/>
        </w:rPr>
        <w:t>Facilitators</w:t>
      </w:r>
    </w:p>
    <w:p w14:paraId="14D63D2E" w14:textId="77777777" w:rsidR="00783124" w:rsidRPr="0044193B" w:rsidRDefault="00783124" w:rsidP="00445DF1">
      <w:pPr>
        <w:spacing w:before="120" w:after="120"/>
      </w:pPr>
      <w:r w:rsidRPr="0044193B">
        <w:rPr>
          <w:rFonts w:cs="Arial"/>
          <w:bCs/>
        </w:rPr>
        <w:t xml:space="preserve">The </w:t>
      </w:r>
      <w:r>
        <w:rPr>
          <w:rFonts w:cs="Arial"/>
          <w:bCs/>
        </w:rPr>
        <w:t>presentation and facilitation guide</w:t>
      </w:r>
      <w:r w:rsidRPr="0044193B">
        <w:rPr>
          <w:rFonts w:cs="Arial"/>
          <w:bCs/>
        </w:rPr>
        <w:t xml:space="preserve"> could be used by supervisors, team leaders and managers or </w:t>
      </w:r>
      <w:r w:rsidRPr="0044193B">
        <w:t xml:space="preserve">any person who can lead group discussions. Facilitators should have knowledge of </w:t>
      </w:r>
      <w:r>
        <w:t>the NDIS Code of Conduct, safeguarding</w:t>
      </w:r>
      <w:r w:rsidRPr="0044193B">
        <w:t xml:space="preserve"> and the relevant policies and procedures of their organisation.</w:t>
      </w:r>
    </w:p>
    <w:p w14:paraId="79F5D39E" w14:textId="77777777" w:rsidR="00783124" w:rsidRPr="0044193B" w:rsidRDefault="00783124" w:rsidP="00445DF1">
      <w:pPr>
        <w:spacing w:before="120" w:after="120"/>
      </w:pPr>
      <w:r w:rsidRPr="0044193B">
        <w:t xml:space="preserve">The objective of using this tool, is to </w:t>
      </w:r>
      <w:r>
        <w:t xml:space="preserve">assist </w:t>
      </w:r>
      <w:r w:rsidRPr="0044193B">
        <w:t xml:space="preserve">your workers </w:t>
      </w:r>
      <w:r>
        <w:t>to understand their role and responsibilities under the NDIS Code of Conduct.</w:t>
      </w:r>
      <w:r w:rsidRPr="0044193B">
        <w:t xml:space="preserve"> It aims to do this by increasing awareness and facilitating discussion around some of the challenges</w:t>
      </w:r>
      <w:r>
        <w:t xml:space="preserve"> and expectations. </w:t>
      </w:r>
    </w:p>
    <w:p w14:paraId="66C4404B" w14:textId="21626766" w:rsidR="00783124" w:rsidRPr="0044193B" w:rsidRDefault="00783124" w:rsidP="00445DF1">
      <w:pPr>
        <w:spacing w:before="120" w:after="240"/>
        <w:rPr>
          <w:b/>
          <w:bCs/>
          <w:color w:val="3C6E8F"/>
        </w:rPr>
      </w:pPr>
      <w:r>
        <w:t>To facilitate this presentation</w:t>
      </w:r>
      <w:r w:rsidR="00087B5A">
        <w:t>,</w:t>
      </w:r>
      <w:r>
        <w:t xml:space="preserve"> you will need: </w:t>
      </w:r>
    </w:p>
    <w:p w14:paraId="11E36CAB" w14:textId="77777777" w:rsidR="00783124" w:rsidRPr="0071377C" w:rsidRDefault="00783124" w:rsidP="00445D38">
      <w:pPr>
        <w:pStyle w:val="ListParagraph"/>
        <w:numPr>
          <w:ilvl w:val="0"/>
          <w:numId w:val="28"/>
        </w:numPr>
        <w:spacing w:before="120" w:after="120"/>
        <w:ind w:left="527" w:right="170" w:hanging="357"/>
        <w:contextualSpacing w:val="0"/>
        <w:rPr>
          <w:rFonts w:eastAsia="Calibri" w:cs="Arial"/>
          <w:b/>
          <w:color w:val="3C6E8F"/>
          <w:szCs w:val="24"/>
        </w:rPr>
      </w:pPr>
      <w:r w:rsidRPr="0071377C">
        <w:rPr>
          <w:rFonts w:eastAsia="Calibri" w:cs="Arial"/>
          <w:b/>
          <w:color w:val="3C6E8F"/>
          <w:szCs w:val="24"/>
        </w:rPr>
        <w:t xml:space="preserve">Talking and Safer Services PowerPoint Presentation </w:t>
      </w:r>
    </w:p>
    <w:p w14:paraId="5CCC936B" w14:textId="77777777" w:rsidR="00783124" w:rsidRPr="0071377C" w:rsidRDefault="00783124" w:rsidP="00445D38">
      <w:pPr>
        <w:pStyle w:val="ListParagraph"/>
        <w:numPr>
          <w:ilvl w:val="0"/>
          <w:numId w:val="28"/>
        </w:numPr>
        <w:spacing w:before="120" w:after="120"/>
        <w:ind w:left="527" w:right="170" w:hanging="357"/>
        <w:contextualSpacing w:val="0"/>
        <w:rPr>
          <w:rFonts w:eastAsia="Calibri" w:cs="Arial"/>
          <w:b/>
          <w:color w:val="3C6E8F"/>
          <w:szCs w:val="24"/>
        </w:rPr>
      </w:pPr>
      <w:r w:rsidRPr="0071377C">
        <w:rPr>
          <w:rFonts w:eastAsia="Calibri" w:cs="Arial"/>
          <w:b/>
          <w:color w:val="3C6E8F"/>
          <w:szCs w:val="24"/>
        </w:rPr>
        <w:t xml:space="preserve">Talking about Safer Services Supported Decision Making Worksheet </w:t>
      </w:r>
    </w:p>
    <w:p w14:paraId="2F404BA9" w14:textId="7E0C933E" w:rsidR="00783124" w:rsidRPr="0071377C" w:rsidRDefault="00000000" w:rsidP="0016256C">
      <w:pPr>
        <w:pStyle w:val="ListParagraph"/>
        <w:numPr>
          <w:ilvl w:val="0"/>
          <w:numId w:val="28"/>
        </w:numPr>
        <w:spacing w:before="120" w:after="240"/>
        <w:ind w:left="527" w:right="170" w:hanging="357"/>
        <w:contextualSpacing w:val="0"/>
        <w:rPr>
          <w:rFonts w:eastAsia="Calibri" w:cs="Arial"/>
          <w:b/>
          <w:szCs w:val="24"/>
        </w:rPr>
      </w:pPr>
      <w:hyperlink r:id="rId11" w:history="1">
        <w:r w:rsidR="0016256C" w:rsidRPr="0071377C">
          <w:rPr>
            <w:rStyle w:val="Hyperlink"/>
            <w:szCs w:val="24"/>
          </w:rPr>
          <w:t xml:space="preserve">WAIS Recording Supported </w:t>
        </w:r>
        <w:r w:rsidR="003D14F6" w:rsidRPr="0071377C">
          <w:rPr>
            <w:rStyle w:val="Hyperlink"/>
            <w:szCs w:val="24"/>
          </w:rPr>
          <w:t>Decision</w:t>
        </w:r>
        <w:r w:rsidR="00F52480">
          <w:rPr>
            <w:rStyle w:val="Hyperlink"/>
            <w:szCs w:val="24"/>
          </w:rPr>
          <w:t xml:space="preserve"> </w:t>
        </w:r>
        <w:r w:rsidR="003D14F6" w:rsidRPr="0071377C">
          <w:rPr>
            <w:rStyle w:val="Hyperlink"/>
            <w:szCs w:val="24"/>
          </w:rPr>
          <w:t>Making</w:t>
        </w:r>
        <w:r w:rsidR="0016256C" w:rsidRPr="0071377C">
          <w:rPr>
            <w:rStyle w:val="Hyperlink"/>
            <w:szCs w:val="24"/>
          </w:rPr>
          <w:t xml:space="preserve"> sheet webpage</w:t>
        </w:r>
      </w:hyperlink>
    </w:p>
    <w:p w14:paraId="50A3596D" w14:textId="77777777" w:rsidR="00783124" w:rsidRDefault="00783124" w:rsidP="0071377C">
      <w:r>
        <w:t xml:space="preserve">The presentation and activities should take approximately 45 minutes. </w:t>
      </w:r>
    </w:p>
    <w:p w14:paraId="1AC7016E" w14:textId="05A60523" w:rsidR="00783124" w:rsidRDefault="00783124" w:rsidP="00087B5A">
      <w:pPr>
        <w:spacing w:before="120" w:after="240"/>
      </w:pPr>
      <w:r w:rsidRPr="00F14796">
        <w:t>A</w:t>
      </w:r>
      <w:r>
        <w:t>s a facilitator, t</w:t>
      </w:r>
      <w:r w:rsidRPr="00C72CA4">
        <w:t xml:space="preserve">ake the time to get familiar with this facilitator’s guide and everything that is required of you before and during the presentation. </w:t>
      </w:r>
    </w:p>
    <w:p w14:paraId="5F8E95E0" w14:textId="77777777" w:rsidR="00783124" w:rsidRPr="00F15FB8" w:rsidRDefault="00783124" w:rsidP="00783124">
      <w:pPr>
        <w:pStyle w:val="Heading2"/>
        <w:rPr>
          <w:rFonts w:eastAsia="Calibri"/>
        </w:rPr>
      </w:pPr>
      <w:r w:rsidRPr="0044193B">
        <w:rPr>
          <w:rFonts w:eastAsia="Calibri"/>
        </w:rPr>
        <w:t xml:space="preserve">Facilitator preparation </w:t>
      </w:r>
    </w:p>
    <w:p w14:paraId="7C18A610" w14:textId="77777777" w:rsidR="00783124" w:rsidRDefault="00783124" w:rsidP="00783124">
      <w:pPr>
        <w:pStyle w:val="Heading3"/>
        <w:rPr>
          <w:rFonts w:eastAsia="Calibri"/>
        </w:rPr>
      </w:pPr>
      <w:r w:rsidRPr="00142BCB">
        <w:rPr>
          <w:rFonts w:eastAsia="Calibri"/>
        </w:rPr>
        <w:t xml:space="preserve">Talking and Safer Services PowerPoint Presentation </w:t>
      </w:r>
    </w:p>
    <w:p w14:paraId="58A79F09" w14:textId="52F5FBD9" w:rsidR="00783124" w:rsidRDefault="00783124" w:rsidP="0016256C">
      <w:pPr>
        <w:spacing w:before="120" w:after="240"/>
      </w:pPr>
      <w:r w:rsidRPr="00395034">
        <w:t xml:space="preserve">The </w:t>
      </w:r>
      <w:r>
        <w:t>P</w:t>
      </w:r>
      <w:r w:rsidRPr="00395034">
        <w:t>ower</w:t>
      </w:r>
      <w:r>
        <w:t>P</w:t>
      </w:r>
      <w:r w:rsidRPr="00395034">
        <w:t>oint presentation and notes</w:t>
      </w:r>
      <w:r w:rsidR="00087B5A">
        <w:t xml:space="preserve"> </w:t>
      </w:r>
      <w:r w:rsidRPr="00395034">
        <w:t xml:space="preserve">will provide you with most of what you need to facilitate this presentation. </w:t>
      </w:r>
      <w:r>
        <w:t xml:space="preserve">To make this presentation more relevant to your supports and services, consider some examples you could share to embed peoples learning. Remember to </w:t>
      </w:r>
      <w:r w:rsidR="00226E55">
        <w:t>always consider</w:t>
      </w:r>
      <w:r>
        <w:t>, the privacy and confidentiality of people with disability if you are using real-life examples.</w:t>
      </w:r>
    </w:p>
    <w:p w14:paraId="318CF36A" w14:textId="77777777" w:rsidR="00783124" w:rsidRDefault="00783124" w:rsidP="00024F4B">
      <w:pPr>
        <w:pStyle w:val="Heading3"/>
        <w:rPr>
          <w:rFonts w:eastAsia="Calibri"/>
        </w:rPr>
      </w:pPr>
      <w:r w:rsidRPr="00142BCB">
        <w:rPr>
          <w:rFonts w:eastAsia="Calibri"/>
        </w:rPr>
        <w:t xml:space="preserve">Talking about Safer Services Supported Decision Making Worksheet </w:t>
      </w:r>
    </w:p>
    <w:p w14:paraId="0762E681" w14:textId="77777777" w:rsidR="00783124" w:rsidRDefault="00783124" w:rsidP="0016256C">
      <w:pPr>
        <w:spacing w:before="120" w:after="120"/>
      </w:pPr>
      <w:r w:rsidRPr="0044193B">
        <w:t xml:space="preserve">The </w:t>
      </w:r>
      <w:r>
        <w:t xml:space="preserve">worksheet is to support the activity at the end of the presentation. It </w:t>
      </w:r>
      <w:r w:rsidRPr="0044193B">
        <w:t xml:space="preserve">contains a completed scenario and a blank template. </w:t>
      </w:r>
    </w:p>
    <w:p w14:paraId="783190CB" w14:textId="43990030" w:rsidR="00783124" w:rsidRPr="0044193B" w:rsidRDefault="00783124" w:rsidP="0016256C">
      <w:pPr>
        <w:spacing w:before="120" w:after="120"/>
      </w:pPr>
      <w:r w:rsidRPr="0044193B">
        <w:rPr>
          <w:b/>
          <w:bCs/>
        </w:rPr>
        <w:t xml:space="preserve">The completed group scenario activity </w:t>
      </w:r>
      <w:r w:rsidRPr="0044193B">
        <w:t xml:space="preserve">is for exploring </w:t>
      </w:r>
      <w:r>
        <w:rPr>
          <w:rFonts w:cs="Arial"/>
          <w:bCs/>
        </w:rPr>
        <w:t>a decision which might require a supported decision</w:t>
      </w:r>
      <w:r w:rsidR="0060442B">
        <w:rPr>
          <w:rFonts w:cs="Arial"/>
          <w:bCs/>
        </w:rPr>
        <w:t>-</w:t>
      </w:r>
      <w:r>
        <w:rPr>
          <w:rFonts w:cs="Arial"/>
          <w:bCs/>
        </w:rPr>
        <w:t>making approach, and some questions to prompt.</w:t>
      </w:r>
    </w:p>
    <w:p w14:paraId="208CA2DA" w14:textId="77777777" w:rsidR="00783124" w:rsidRPr="0044193B" w:rsidRDefault="00783124" w:rsidP="0071377C">
      <w:pPr>
        <w:spacing w:before="120" w:after="120"/>
      </w:pPr>
      <w:r w:rsidRPr="0044193B">
        <w:rPr>
          <w:b/>
          <w:bCs/>
        </w:rPr>
        <w:lastRenderedPageBreak/>
        <w:t xml:space="preserve">The blank group scenario activity </w:t>
      </w:r>
      <w:r w:rsidRPr="0044193B">
        <w:t>has been added, to allow you to create your own scenarios, specific to your service delivery. Remember to de-identify if you are using real examples with groups of team members.</w:t>
      </w:r>
    </w:p>
    <w:p w14:paraId="4E503646" w14:textId="71E9228F" w:rsidR="00783124" w:rsidRDefault="00783124" w:rsidP="00424BFC">
      <w:pPr>
        <w:spacing w:before="120" w:after="240"/>
        <w:rPr>
          <w:rFonts w:cs="Arial"/>
          <w:bCs/>
        </w:rPr>
      </w:pPr>
      <w:r>
        <w:rPr>
          <w:rFonts w:cs="Arial"/>
          <w:bCs/>
        </w:rPr>
        <w:t xml:space="preserve">Make sure you have provided a copy to people participating along with the WAIS Recording Supported </w:t>
      </w:r>
      <w:r w:rsidR="0060442B">
        <w:rPr>
          <w:rFonts w:cs="Arial"/>
          <w:bCs/>
        </w:rPr>
        <w:t>Decision-Making</w:t>
      </w:r>
      <w:r>
        <w:rPr>
          <w:rFonts w:cs="Arial"/>
          <w:bCs/>
        </w:rPr>
        <w:t xml:space="preserve"> sheet at the beginning of the training session.</w:t>
      </w:r>
    </w:p>
    <w:p w14:paraId="54AC3FB9" w14:textId="77777777" w:rsidR="00D84B24" w:rsidRPr="005C516B" w:rsidRDefault="00D84B24" w:rsidP="00D84B24">
      <w:pPr>
        <w:pStyle w:val="Heading2"/>
        <w:rPr>
          <w:rFonts w:eastAsia="Calibri"/>
        </w:rPr>
      </w:pPr>
      <w:r w:rsidRPr="00142BCB">
        <w:rPr>
          <w:rFonts w:eastAsia="Calibri"/>
        </w:rPr>
        <w:t>Tips for facilitating</w:t>
      </w:r>
    </w:p>
    <w:p w14:paraId="6F157DC3" w14:textId="77777777" w:rsidR="00D84B24" w:rsidRDefault="00D84B24" w:rsidP="00424BFC">
      <w:pPr>
        <w:pStyle w:val="ListParagraph"/>
        <w:numPr>
          <w:ilvl w:val="0"/>
          <w:numId w:val="34"/>
        </w:numPr>
        <w:spacing w:before="120" w:after="120"/>
        <w:contextualSpacing w:val="0"/>
      </w:pPr>
      <w:r w:rsidRPr="00800218">
        <w:rPr>
          <w:b/>
          <w:bCs/>
        </w:rPr>
        <w:t>Focus will be on creating opportunities for workers to explore and ask questions</w:t>
      </w:r>
      <w:r w:rsidRPr="009F21DB">
        <w:t>.</w:t>
      </w:r>
      <w:r>
        <w:t xml:space="preserve"> Use the expertise and different experiences of the people in the room. </w:t>
      </w:r>
    </w:p>
    <w:p w14:paraId="26868EB6" w14:textId="77777777" w:rsidR="00D84B24" w:rsidRPr="009F21DB" w:rsidRDefault="00D84B24" w:rsidP="00424BFC">
      <w:pPr>
        <w:pStyle w:val="ListParagraph"/>
        <w:numPr>
          <w:ilvl w:val="0"/>
          <w:numId w:val="34"/>
        </w:numPr>
        <w:spacing w:before="120" w:after="120"/>
        <w:contextualSpacing w:val="0"/>
      </w:pPr>
      <w:r w:rsidRPr="00800218">
        <w:rPr>
          <w:b/>
          <w:bCs/>
        </w:rPr>
        <w:t>Practice your presentation</w:t>
      </w:r>
      <w:r w:rsidRPr="009F21DB">
        <w:t xml:space="preserve">, read </w:t>
      </w:r>
      <w:r>
        <w:t xml:space="preserve">through </w:t>
      </w:r>
      <w:r w:rsidRPr="009F21DB">
        <w:t xml:space="preserve">the facilitator’s presentation out loud using the notes provided. </w:t>
      </w:r>
    </w:p>
    <w:p w14:paraId="131DB31D" w14:textId="77777777" w:rsidR="00D84B24" w:rsidRPr="009F21DB" w:rsidRDefault="00D84B24" w:rsidP="00424BFC">
      <w:pPr>
        <w:pStyle w:val="ListParagraph"/>
        <w:numPr>
          <w:ilvl w:val="0"/>
          <w:numId w:val="34"/>
        </w:numPr>
        <w:spacing w:before="120" w:after="120"/>
        <w:contextualSpacing w:val="0"/>
      </w:pPr>
      <w:r w:rsidRPr="00800218">
        <w:rPr>
          <w:b/>
          <w:bCs/>
        </w:rPr>
        <w:t>Take your time and try not to rush through the content.</w:t>
      </w:r>
      <w:r>
        <w:t xml:space="preserve"> </w:t>
      </w:r>
      <w:r w:rsidRPr="009F21DB">
        <w:t>When you are speaking/reading in front of an audience it is useful to take a breath after four or five words of each sentence. This will help slow you down and give people time to process the information.</w:t>
      </w:r>
    </w:p>
    <w:p w14:paraId="756D0E96" w14:textId="77777777" w:rsidR="00D84B24" w:rsidRPr="009F21DB" w:rsidRDefault="00D84B24" w:rsidP="00424BFC">
      <w:pPr>
        <w:pStyle w:val="ListParagraph"/>
        <w:numPr>
          <w:ilvl w:val="0"/>
          <w:numId w:val="34"/>
        </w:numPr>
        <w:spacing w:before="120" w:after="120"/>
        <w:contextualSpacing w:val="0"/>
      </w:pPr>
      <w:r w:rsidRPr="00800218">
        <w:rPr>
          <w:b/>
          <w:bCs/>
        </w:rPr>
        <w:t>Regroup and discuss responses</w:t>
      </w:r>
      <w:r>
        <w:t>.</w:t>
      </w:r>
      <w:r w:rsidRPr="009F21DB">
        <w:t xml:space="preserve"> </w:t>
      </w:r>
      <w:r w:rsidRPr="00117A38">
        <w:t>Bring the groups back together</w:t>
      </w:r>
      <w:r>
        <w:t xml:space="preserve"> after each group discussion or activity</w:t>
      </w:r>
      <w:r w:rsidRPr="00117A38">
        <w:t xml:space="preserve">. </w:t>
      </w:r>
    </w:p>
    <w:p w14:paraId="73D59364" w14:textId="77777777" w:rsidR="00D84B24" w:rsidRDefault="00D84B24" w:rsidP="007915D1">
      <w:pPr>
        <w:pStyle w:val="ListParagraph"/>
        <w:numPr>
          <w:ilvl w:val="0"/>
          <w:numId w:val="35"/>
        </w:numPr>
        <w:spacing w:before="120" w:after="120"/>
        <w:ind w:left="720"/>
        <w:contextualSpacing w:val="0"/>
      </w:pPr>
      <w:r w:rsidRPr="009F21DB">
        <w:t xml:space="preserve">Ask each group about their response to each question. </w:t>
      </w:r>
    </w:p>
    <w:p w14:paraId="638449C1" w14:textId="77777777" w:rsidR="00D84B24" w:rsidRDefault="00D84B24" w:rsidP="007915D1">
      <w:pPr>
        <w:pStyle w:val="ListParagraph"/>
        <w:numPr>
          <w:ilvl w:val="0"/>
          <w:numId w:val="35"/>
        </w:numPr>
        <w:spacing w:before="120" w:after="120"/>
        <w:ind w:left="720"/>
        <w:contextualSpacing w:val="0"/>
      </w:pPr>
      <w:r w:rsidRPr="009F21DB">
        <w:t>Provide any additional responses based on expected responses in the notes of the presentation and go through the additional information with the whole group.</w:t>
      </w:r>
    </w:p>
    <w:p w14:paraId="2AD6EA83" w14:textId="77777777" w:rsidR="007915D1" w:rsidRDefault="00D84B24" w:rsidP="007915D1">
      <w:pPr>
        <w:pStyle w:val="ListParagraph"/>
        <w:numPr>
          <w:ilvl w:val="0"/>
          <w:numId w:val="35"/>
        </w:numPr>
        <w:spacing w:before="120" w:after="120"/>
        <w:ind w:left="720"/>
        <w:contextualSpacing w:val="0"/>
      </w:pPr>
      <w:r w:rsidRPr="009F21DB">
        <w:t>If you are asked a question and don’t know the answer – let the group know you aren’t sure but will find out and let them know.</w:t>
      </w:r>
    </w:p>
    <w:p w14:paraId="721EB023" w14:textId="6894ADA8" w:rsidR="00D84B24" w:rsidRPr="007915D1" w:rsidRDefault="00D84B24" w:rsidP="007915D1">
      <w:pPr>
        <w:pStyle w:val="ListParagraph"/>
        <w:numPr>
          <w:ilvl w:val="0"/>
          <w:numId w:val="43"/>
        </w:numPr>
      </w:pPr>
      <w:r w:rsidRPr="007915D1">
        <w:t>Discuss any concerns or questions raised.</w:t>
      </w:r>
    </w:p>
    <w:p w14:paraId="1E581166" w14:textId="77777777" w:rsidR="00D84B24" w:rsidRPr="00290893" w:rsidRDefault="00D84B24" w:rsidP="007915D1">
      <w:pPr>
        <w:pStyle w:val="ListParagraph"/>
        <w:numPr>
          <w:ilvl w:val="0"/>
          <w:numId w:val="37"/>
        </w:numPr>
        <w:spacing w:before="120" w:after="120"/>
        <w:ind w:left="360" w:hanging="357"/>
        <w:contextualSpacing w:val="0"/>
        <w:rPr>
          <w:rFonts w:cs="Times New Roman"/>
        </w:rPr>
      </w:pPr>
      <w:r w:rsidRPr="00290893">
        <w:rPr>
          <w:b/>
        </w:rPr>
        <w:t xml:space="preserve">Safer Services is an important and challenging subject. </w:t>
      </w:r>
      <w:r w:rsidRPr="009F21DB">
        <w:t>Consider before you start how you will manage and address if</w:t>
      </w:r>
      <w:r>
        <w:t>:</w:t>
      </w:r>
    </w:p>
    <w:p w14:paraId="33A03213" w14:textId="2FB9B37D" w:rsidR="00D84B24" w:rsidRDefault="00D84B24" w:rsidP="007915D1">
      <w:pPr>
        <w:pStyle w:val="ListParagraph"/>
        <w:numPr>
          <w:ilvl w:val="0"/>
          <w:numId w:val="36"/>
        </w:numPr>
        <w:spacing w:before="120" w:after="120"/>
        <w:ind w:left="720" w:hanging="357"/>
        <w:contextualSpacing w:val="0"/>
      </w:pPr>
      <w:r w:rsidRPr="00636371">
        <w:t>People raise a current issue which presents a risk to someone</w:t>
      </w:r>
      <w:r w:rsidR="00A13D4F">
        <w:t>.</w:t>
      </w:r>
    </w:p>
    <w:p w14:paraId="23ADC956" w14:textId="77777777" w:rsidR="00D84B24" w:rsidRPr="009F21DB" w:rsidRDefault="00D84B24" w:rsidP="007915D1">
      <w:pPr>
        <w:pStyle w:val="ListParagraph"/>
        <w:numPr>
          <w:ilvl w:val="0"/>
          <w:numId w:val="36"/>
        </w:numPr>
        <w:spacing w:before="120" w:after="120"/>
        <w:ind w:left="720" w:hanging="357"/>
        <w:contextualSpacing w:val="0"/>
      </w:pPr>
      <w:r w:rsidRPr="009F21DB">
        <w:t>How you will answer questions you don</w:t>
      </w:r>
      <w:r>
        <w:t>’t</w:t>
      </w:r>
      <w:r w:rsidRPr="009F21DB">
        <w:t xml:space="preserve"> have the answer to, an option is to</w:t>
      </w:r>
      <w:r>
        <w:t xml:space="preserve"> </w:t>
      </w:r>
      <w:r w:rsidRPr="009F21DB">
        <w:t>acknowledge the question</w:t>
      </w:r>
      <w:r>
        <w:t xml:space="preserve"> </w:t>
      </w:r>
      <w:r w:rsidRPr="009F21DB">
        <w:t>note it down and</w:t>
      </w:r>
      <w:r>
        <w:t xml:space="preserve"> </w:t>
      </w:r>
      <w:r w:rsidRPr="009F21DB">
        <w:t>let the person know you will follow up and come back to them</w:t>
      </w:r>
      <w:r>
        <w:t>.</w:t>
      </w:r>
    </w:p>
    <w:p w14:paraId="5D11B830" w14:textId="77777777" w:rsidR="00D84B24" w:rsidRDefault="00D84B24" w:rsidP="007915D1">
      <w:pPr>
        <w:pStyle w:val="ListParagraph"/>
        <w:numPr>
          <w:ilvl w:val="0"/>
          <w:numId w:val="36"/>
        </w:numPr>
        <w:spacing w:before="120" w:after="120"/>
        <w:ind w:left="720" w:hanging="357"/>
        <w:contextualSpacing w:val="0"/>
      </w:pPr>
      <w:r>
        <w:t>M</w:t>
      </w:r>
      <w:r w:rsidRPr="00636371">
        <w:t>ake sure you follow up</w:t>
      </w:r>
      <w:r>
        <w:t xml:space="preserve"> people’s questions and come back to them. Leaving questions unanswered ongoing, can create risks.</w:t>
      </w:r>
    </w:p>
    <w:p w14:paraId="7B9BC4E0" w14:textId="77777777" w:rsidR="00B23C9A" w:rsidRDefault="00B23C9A">
      <w:pPr>
        <w:spacing w:after="160" w:line="259" w:lineRule="auto"/>
        <w:rPr>
          <w:rFonts w:eastAsia="Times New Roman" w:cstheme="majorBidi"/>
          <w:b/>
          <w:sz w:val="32"/>
          <w:szCs w:val="26"/>
          <w:lang w:eastAsia="en-AU"/>
        </w:rPr>
      </w:pPr>
      <w:r>
        <w:rPr>
          <w:rFonts w:eastAsia="Times New Roman"/>
          <w:lang w:eastAsia="en-AU"/>
        </w:rPr>
        <w:br w:type="page"/>
      </w:r>
    </w:p>
    <w:p w14:paraId="4187AD54" w14:textId="039B65C4" w:rsidR="00B23C9A" w:rsidRPr="0044193B" w:rsidRDefault="00B23C9A" w:rsidP="00B23C9A">
      <w:pPr>
        <w:pStyle w:val="Heading2"/>
        <w:rPr>
          <w:rFonts w:eastAsia="Times New Roman"/>
          <w:lang w:eastAsia="en-AU"/>
        </w:rPr>
      </w:pPr>
      <w:r w:rsidRPr="0044193B">
        <w:rPr>
          <w:rFonts w:eastAsia="Times New Roman"/>
          <w:lang w:eastAsia="en-AU"/>
        </w:rPr>
        <w:lastRenderedPageBreak/>
        <w:t xml:space="preserve">Support for workers </w:t>
      </w:r>
    </w:p>
    <w:p w14:paraId="0D113700" w14:textId="77777777" w:rsidR="00B23C9A" w:rsidRPr="0044193B" w:rsidRDefault="00B23C9A" w:rsidP="00B23C9A">
      <w:pPr>
        <w:spacing w:before="120" w:after="120"/>
        <w:rPr>
          <w:lang w:eastAsia="en-AU"/>
        </w:rPr>
      </w:pPr>
      <w:r w:rsidRPr="0044193B">
        <w:rPr>
          <w:lang w:eastAsia="en-AU"/>
        </w:rPr>
        <w:t xml:space="preserve">Talking about </w:t>
      </w:r>
      <w:r>
        <w:rPr>
          <w:lang w:eastAsia="en-AU"/>
        </w:rPr>
        <w:t>preventing and responding to abuse</w:t>
      </w:r>
      <w:r w:rsidRPr="0044193B">
        <w:rPr>
          <w:lang w:eastAsia="en-AU"/>
        </w:rPr>
        <w:t xml:space="preserve"> – although important – can have an impact on individuals or bring up current or past situations that they have been part of. </w:t>
      </w:r>
    </w:p>
    <w:p w14:paraId="6877B96A" w14:textId="77777777" w:rsidR="00B23C9A" w:rsidRPr="0044193B" w:rsidRDefault="00B23C9A" w:rsidP="00B23C9A">
      <w:pPr>
        <w:spacing w:before="120" w:after="120"/>
        <w:rPr>
          <w:lang w:eastAsia="en-AU"/>
        </w:rPr>
      </w:pPr>
      <w:r w:rsidRPr="0044193B">
        <w:rPr>
          <w:lang w:eastAsia="en-AU"/>
        </w:rPr>
        <w:t>Consider what your approach will be to supporting workers. Some options could include:</w:t>
      </w:r>
    </w:p>
    <w:p w14:paraId="5410FD1C" w14:textId="486A6D5A" w:rsidR="00B23C9A" w:rsidRPr="0044193B" w:rsidRDefault="00B23C9A" w:rsidP="00472FDC">
      <w:pPr>
        <w:pStyle w:val="ListParagraph"/>
        <w:numPr>
          <w:ilvl w:val="0"/>
          <w:numId w:val="46"/>
        </w:numPr>
        <w:spacing w:before="120" w:after="120"/>
        <w:ind w:left="357" w:hanging="357"/>
        <w:contextualSpacing w:val="0"/>
        <w:rPr>
          <w:lang w:eastAsia="en-AU"/>
        </w:rPr>
      </w:pPr>
      <w:r w:rsidRPr="00077743">
        <w:rPr>
          <w:b/>
          <w:bCs/>
          <w:lang w:eastAsia="en-AU"/>
        </w:rPr>
        <w:t>Setting up a designated support person</w:t>
      </w:r>
      <w:r w:rsidRPr="0044193B">
        <w:rPr>
          <w:lang w:eastAsia="en-AU"/>
        </w:rPr>
        <w:t xml:space="preserve"> who is available during the activity, for workers to access if they need support.</w:t>
      </w:r>
      <w:r w:rsidR="0053580E">
        <w:rPr>
          <w:lang w:eastAsia="en-AU"/>
        </w:rPr>
        <w:t xml:space="preserve">   </w:t>
      </w:r>
    </w:p>
    <w:p w14:paraId="2ACB00B4" w14:textId="77777777" w:rsidR="00B23C9A" w:rsidRPr="0044193B" w:rsidRDefault="00B23C9A" w:rsidP="00472FDC">
      <w:pPr>
        <w:pStyle w:val="ListParagraph"/>
        <w:numPr>
          <w:ilvl w:val="0"/>
          <w:numId w:val="46"/>
        </w:numPr>
        <w:spacing w:before="120" w:after="120"/>
        <w:ind w:left="357" w:hanging="357"/>
        <w:contextualSpacing w:val="0"/>
        <w:rPr>
          <w:lang w:eastAsia="en-AU"/>
        </w:rPr>
      </w:pPr>
      <w:r w:rsidRPr="00077743">
        <w:rPr>
          <w:b/>
          <w:bCs/>
          <w:lang w:eastAsia="en-AU"/>
        </w:rPr>
        <w:t>Letting people know if they wish to leave the session,</w:t>
      </w:r>
      <w:r w:rsidRPr="0044193B">
        <w:rPr>
          <w:lang w:eastAsia="en-AU"/>
        </w:rPr>
        <w:t xml:space="preserve"> they can do this at any time. </w:t>
      </w:r>
    </w:p>
    <w:p w14:paraId="48E6B196" w14:textId="77777777" w:rsidR="00B23C9A" w:rsidRPr="0044193B" w:rsidRDefault="00B23C9A" w:rsidP="00472FDC">
      <w:pPr>
        <w:pStyle w:val="ListParagraph"/>
        <w:numPr>
          <w:ilvl w:val="0"/>
          <w:numId w:val="46"/>
        </w:numPr>
        <w:spacing w:before="120" w:after="120"/>
        <w:ind w:left="357" w:hanging="357"/>
        <w:contextualSpacing w:val="0"/>
        <w:rPr>
          <w:lang w:eastAsia="en-AU"/>
        </w:rPr>
      </w:pPr>
      <w:r w:rsidRPr="00077743">
        <w:rPr>
          <w:b/>
          <w:bCs/>
          <w:lang w:eastAsia="en-AU"/>
        </w:rPr>
        <w:t>Encouraging people to seek support</w:t>
      </w:r>
      <w:r w:rsidRPr="0044193B">
        <w:rPr>
          <w:lang w:eastAsia="en-AU"/>
        </w:rPr>
        <w:t xml:space="preserve"> after the session if they need to do so. This could be from an appropriate person within your organisation, or another appropriate person in their lives. </w:t>
      </w:r>
    </w:p>
    <w:p w14:paraId="5537AA2C" w14:textId="77777777" w:rsidR="00B23C9A" w:rsidRPr="00F15FB8" w:rsidRDefault="00B23C9A" w:rsidP="00472FDC">
      <w:pPr>
        <w:pStyle w:val="ListParagraph"/>
        <w:numPr>
          <w:ilvl w:val="0"/>
          <w:numId w:val="46"/>
        </w:numPr>
        <w:spacing w:before="120" w:after="240"/>
        <w:ind w:left="357" w:hanging="357"/>
        <w:contextualSpacing w:val="0"/>
        <w:rPr>
          <w:lang w:eastAsia="en-AU"/>
        </w:rPr>
      </w:pPr>
      <w:r w:rsidRPr="00077743">
        <w:rPr>
          <w:b/>
          <w:bCs/>
          <w:lang w:eastAsia="en-AU"/>
        </w:rPr>
        <w:t>Having Employee Assistance Programs available</w:t>
      </w:r>
      <w:r w:rsidRPr="0044193B">
        <w:rPr>
          <w:lang w:eastAsia="en-AU"/>
        </w:rPr>
        <w:t xml:space="preserve"> to anyone who needs to access them.</w:t>
      </w:r>
    </w:p>
    <w:p w14:paraId="2885983C" w14:textId="77777777" w:rsidR="00EC536C" w:rsidRPr="000A544E" w:rsidRDefault="00EC536C" w:rsidP="00EC536C">
      <w:pPr>
        <w:pStyle w:val="Heading2"/>
        <w:rPr>
          <w:rFonts w:eastAsia="Calibri"/>
        </w:rPr>
      </w:pPr>
      <w:r w:rsidRPr="000A544E">
        <w:rPr>
          <w:rFonts w:eastAsia="Calibri"/>
        </w:rPr>
        <w:t>Other supporting information</w:t>
      </w:r>
    </w:p>
    <w:p w14:paraId="282DF33D" w14:textId="77777777" w:rsidR="00EC536C" w:rsidRPr="000A544E" w:rsidRDefault="00EC536C" w:rsidP="00EC536C">
      <w:pPr>
        <w:spacing w:before="120" w:after="120"/>
      </w:pPr>
      <w:r w:rsidRPr="000A544E">
        <w:t xml:space="preserve">Depending on the experience level of your workers you may also want to provide them with other resources, to support their learning, such as: </w:t>
      </w:r>
    </w:p>
    <w:p w14:paraId="05D942E8" w14:textId="77777777" w:rsidR="00EC536C" w:rsidRPr="000A544E" w:rsidRDefault="00EC536C" w:rsidP="00077743">
      <w:pPr>
        <w:pStyle w:val="ListParagraph"/>
        <w:numPr>
          <w:ilvl w:val="0"/>
          <w:numId w:val="45"/>
        </w:numPr>
        <w:spacing w:before="120" w:after="120"/>
        <w:ind w:left="357" w:hanging="357"/>
        <w:contextualSpacing w:val="0"/>
      </w:pPr>
      <w:r w:rsidRPr="000A544E">
        <w:t xml:space="preserve">your policies, procedures and plans for emergency and disaster management </w:t>
      </w:r>
    </w:p>
    <w:p w14:paraId="7AE8664A" w14:textId="77777777" w:rsidR="00EC536C" w:rsidRPr="000A544E" w:rsidRDefault="00EC536C" w:rsidP="00077743">
      <w:pPr>
        <w:pStyle w:val="ListParagraph"/>
        <w:numPr>
          <w:ilvl w:val="0"/>
          <w:numId w:val="45"/>
        </w:numPr>
        <w:spacing w:before="120" w:after="120"/>
        <w:ind w:left="357" w:hanging="357"/>
        <w:contextualSpacing w:val="0"/>
      </w:pPr>
      <w:r w:rsidRPr="000A544E">
        <w:t>other related policies and procedures</w:t>
      </w:r>
    </w:p>
    <w:p w14:paraId="40A924F0" w14:textId="77777777" w:rsidR="00EC536C" w:rsidRPr="0044193B" w:rsidRDefault="00EC536C" w:rsidP="00077743">
      <w:pPr>
        <w:pStyle w:val="ListParagraph"/>
        <w:numPr>
          <w:ilvl w:val="0"/>
          <w:numId w:val="45"/>
        </w:numPr>
        <w:spacing w:before="120" w:after="120"/>
        <w:ind w:left="357" w:hanging="357"/>
        <w:contextualSpacing w:val="0"/>
      </w:pPr>
      <w:r w:rsidRPr="0044193B">
        <w:t xml:space="preserve">information on the NDIS Practice Standards and Code of Conduct </w:t>
      </w:r>
    </w:p>
    <w:p w14:paraId="33FACF00" w14:textId="77777777" w:rsidR="00EC536C" w:rsidRDefault="00EC536C" w:rsidP="00472FDC">
      <w:pPr>
        <w:pStyle w:val="ListParagraph"/>
        <w:numPr>
          <w:ilvl w:val="0"/>
          <w:numId w:val="45"/>
        </w:numPr>
        <w:spacing w:before="120" w:after="240"/>
        <w:ind w:left="357" w:hanging="357"/>
        <w:contextualSpacing w:val="0"/>
      </w:pPr>
      <w:r w:rsidRPr="0044193B">
        <w:t xml:space="preserve">information on </w:t>
      </w:r>
      <w:r>
        <w:t>i</w:t>
      </w:r>
      <w:r w:rsidRPr="0044193B">
        <w:t xml:space="preserve">ncident reporting and reportable incidents. </w:t>
      </w:r>
    </w:p>
    <w:p w14:paraId="5CB465E7" w14:textId="143DEFF1" w:rsidR="0071377C" w:rsidRPr="008C0196" w:rsidRDefault="00D6437A" w:rsidP="00472FDC">
      <w:pPr>
        <w:spacing w:before="240" w:after="240"/>
        <w:rPr>
          <w:rFonts w:eastAsia="Calibri" w:cs="Times New Roman"/>
          <w:sz w:val="26"/>
          <w:szCs w:val="26"/>
        </w:rPr>
      </w:pPr>
      <w:r w:rsidRPr="00D6437A">
        <w:rPr>
          <w:rStyle w:val="TipsChar"/>
        </w:rPr>
        <w:t>Resources</w:t>
      </w:r>
      <w:r>
        <w:rPr>
          <w:rFonts w:cs="Arial"/>
          <w:bCs/>
        </w:rPr>
        <w:t>:</w:t>
      </w:r>
      <w:r w:rsidR="008C0196">
        <w:rPr>
          <w:rFonts w:cs="Arial"/>
          <w:bCs/>
        </w:rPr>
        <w:t xml:space="preserve"> </w:t>
      </w:r>
      <w:r w:rsidR="008C0196" w:rsidRPr="000A593F">
        <w:rPr>
          <w:rFonts w:eastAsia="Calibri" w:cs="Times New Roman"/>
          <w:sz w:val="26"/>
          <w:szCs w:val="26"/>
        </w:rPr>
        <w:t>Add resource links here</w:t>
      </w:r>
      <w:r w:rsidR="000A593F">
        <w:rPr>
          <w:rFonts w:eastAsia="Calibri" w:cs="Times New Roman"/>
          <w:sz w:val="26"/>
          <w:szCs w:val="26"/>
        </w:rPr>
        <w:t>:</w:t>
      </w:r>
    </w:p>
    <w:p w14:paraId="758AB62A" w14:textId="77777777" w:rsidR="00B6799C" w:rsidRPr="00117A38" w:rsidRDefault="00B6799C" w:rsidP="00B6799C">
      <w:pPr>
        <w:pStyle w:val="Heading2"/>
        <w:rPr>
          <w:rFonts w:eastAsia="Calibri"/>
        </w:rPr>
      </w:pPr>
      <w:r w:rsidRPr="00117A38">
        <w:rPr>
          <w:rFonts w:eastAsia="Calibri"/>
        </w:rPr>
        <w:t xml:space="preserve">Finishing the </w:t>
      </w:r>
      <w:r w:rsidRPr="000638E3">
        <w:rPr>
          <w:rFonts w:eastAsia="Calibri"/>
        </w:rPr>
        <w:t>session</w:t>
      </w:r>
    </w:p>
    <w:p w14:paraId="657B59E0" w14:textId="1C45DA8A" w:rsidR="00B6799C" w:rsidRPr="00117A38" w:rsidRDefault="00B6799C" w:rsidP="004607A5">
      <w:pPr>
        <w:pStyle w:val="ListParagraph"/>
        <w:numPr>
          <w:ilvl w:val="0"/>
          <w:numId w:val="42"/>
        </w:numPr>
        <w:spacing w:before="120" w:after="120"/>
        <w:contextualSpacing w:val="0"/>
      </w:pPr>
      <w:r w:rsidRPr="00117A38">
        <w:t>Thank the group for their contribution to the conversation and let them know that you are available to talk to them if they want to continue the conversation.</w:t>
      </w:r>
      <w:r w:rsidR="0053580E">
        <w:t xml:space="preserve">   </w:t>
      </w:r>
    </w:p>
    <w:p w14:paraId="4833C083" w14:textId="77777777" w:rsidR="00B6799C" w:rsidRDefault="00B6799C" w:rsidP="004607A5">
      <w:pPr>
        <w:pStyle w:val="ListParagraph"/>
        <w:numPr>
          <w:ilvl w:val="0"/>
          <w:numId w:val="42"/>
        </w:numPr>
        <w:spacing w:before="120" w:after="120"/>
        <w:contextualSpacing w:val="0"/>
      </w:pPr>
      <w:r w:rsidRPr="00117A38">
        <w:t xml:space="preserve">Let them know which other people within your organisation they can approach if they want to talk about the topics </w:t>
      </w:r>
      <w:r w:rsidRPr="000A544E">
        <w:t xml:space="preserve">discussed. </w:t>
      </w:r>
    </w:p>
    <w:p w14:paraId="046D4F24" w14:textId="77777777" w:rsidR="00B6799C" w:rsidRDefault="00B6799C" w:rsidP="004607A5">
      <w:pPr>
        <w:pStyle w:val="ListParagraph"/>
        <w:numPr>
          <w:ilvl w:val="0"/>
          <w:numId w:val="42"/>
        </w:numPr>
        <w:spacing w:before="120" w:after="120"/>
        <w:contextualSpacing w:val="0"/>
      </w:pPr>
      <w:r w:rsidRPr="00117A38">
        <w:t xml:space="preserve">Collect </w:t>
      </w:r>
      <w:r>
        <w:t xml:space="preserve">any worksheets and materials. </w:t>
      </w:r>
    </w:p>
    <w:p w14:paraId="7081BA9E" w14:textId="77777777" w:rsidR="00B6799C" w:rsidRDefault="00B6799C" w:rsidP="000F36A6">
      <w:pPr>
        <w:pStyle w:val="ListParagraph"/>
        <w:numPr>
          <w:ilvl w:val="0"/>
          <w:numId w:val="42"/>
        </w:numPr>
        <w:spacing w:before="120" w:after="120"/>
        <w:contextualSpacing w:val="0"/>
      </w:pPr>
      <w:r w:rsidRPr="008764DA">
        <w:t xml:space="preserve">Forward the </w:t>
      </w:r>
      <w:r>
        <w:t>worksheets</w:t>
      </w:r>
      <w:r w:rsidRPr="008764DA">
        <w:t xml:space="preserve"> </w:t>
      </w:r>
      <w:r>
        <w:t xml:space="preserve">to </w:t>
      </w:r>
      <w:r w:rsidRPr="008764DA">
        <w:t>your manager, quality manager or the person responsible for developing your procedures. Ensure you have included any questions raised and your observations to inform and improve future training on emergency and disaster management. </w:t>
      </w:r>
    </w:p>
    <w:p w14:paraId="7B74136D" w14:textId="6D3685A0" w:rsidR="00B46B13" w:rsidRDefault="00B46B13">
      <w:pPr>
        <w:spacing w:after="160" w:line="259" w:lineRule="auto"/>
      </w:pPr>
      <w:r>
        <w:br w:type="page"/>
      </w:r>
    </w:p>
    <w:p w14:paraId="4702C58B" w14:textId="77777777" w:rsidR="004607A5" w:rsidRPr="0011625B" w:rsidRDefault="004607A5" w:rsidP="004607A5">
      <w:pPr>
        <w:spacing w:before="120" w:after="240"/>
        <w:rPr>
          <w:rFonts w:eastAsiaTheme="majorEastAsia" w:cstheme="majorBidi"/>
          <w:bCs/>
          <w:szCs w:val="24"/>
        </w:rPr>
      </w:pPr>
      <w:r w:rsidRPr="0011625B">
        <w:rPr>
          <w:rFonts w:cs="Arial"/>
          <w:b/>
          <w:bCs/>
          <w:szCs w:val="24"/>
          <w:lang w:val="en-US"/>
        </w:rPr>
        <w:lastRenderedPageBreak/>
        <w:t>Please note:</w:t>
      </w:r>
      <w:r w:rsidRPr="0011625B">
        <w:rPr>
          <w:rFonts w:cs="Arial"/>
          <w:szCs w:val="24"/>
          <w:lang w:val="en-US"/>
        </w:rPr>
        <w:t xml:space="preserve"> The Safer Services toolkit was funded by Lotterywest in 2018 and reviewed by the NDS Quality and Safeguards Sector Readiness Project in January 2024. This</w:t>
      </w:r>
      <w:r w:rsidRPr="0011625B">
        <w:rPr>
          <w:szCs w:val="24"/>
          <w:lang w:val="en-US"/>
        </w:rPr>
        <w:t xml:space="preserv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11625B">
        <w:rPr>
          <w:rFonts w:cs="Arial"/>
          <w:szCs w:val="24"/>
          <w:lang w:val="en-US"/>
        </w:rPr>
        <w:t>Please always refer to online documents for the latest versions including the NDIS Practice Standards and advice to providers on the Code of Conduct.</w:t>
      </w:r>
    </w:p>
    <w:p w14:paraId="2490A506" w14:textId="231C7F84" w:rsidR="00763A5C" w:rsidRPr="0011625B" w:rsidRDefault="004607A5" w:rsidP="0011625B">
      <w:pPr>
        <w:rPr>
          <w:szCs w:val="24"/>
        </w:rPr>
      </w:pPr>
      <w:r w:rsidRPr="0011625B">
        <w:rPr>
          <w:szCs w:val="24"/>
        </w:rPr>
        <w:t>End of document.</w:t>
      </w:r>
    </w:p>
    <w:sectPr w:rsidR="00763A5C" w:rsidRPr="0011625B" w:rsidSect="00C21871">
      <w:headerReference w:type="default" r:id="rId12"/>
      <w:footerReference w:type="default" r:id="rId13"/>
      <w:headerReference w:type="first" r:id="rId14"/>
      <w:footerReference w:type="first" r:id="rId15"/>
      <w:type w:val="continuous"/>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FDA86" w14:textId="77777777" w:rsidR="00EB4EF6" w:rsidRDefault="00EB4EF6" w:rsidP="00CA5DE7">
      <w:pPr>
        <w:spacing w:line="240" w:lineRule="auto"/>
      </w:pPr>
      <w:r>
        <w:separator/>
      </w:r>
    </w:p>
  </w:endnote>
  <w:endnote w:type="continuationSeparator" w:id="0">
    <w:p w14:paraId="27BB5173" w14:textId="77777777" w:rsidR="00EB4EF6" w:rsidRDefault="00EB4EF6" w:rsidP="00CA5DE7">
      <w:pPr>
        <w:spacing w:line="240" w:lineRule="auto"/>
      </w:pPr>
      <w:r>
        <w:continuationSeparator/>
      </w:r>
    </w:p>
  </w:endnote>
  <w:endnote w:type="continuationNotice" w:id="1">
    <w:p w14:paraId="55217AD3" w14:textId="77777777" w:rsidR="00EB4EF6" w:rsidRDefault="00EB4E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0657284"/>
      <w:docPartObj>
        <w:docPartGallery w:val="Page Numbers (Bottom of Page)"/>
        <w:docPartUnique/>
      </w:docPartObj>
    </w:sdtPr>
    <w:sdtEndPr>
      <w:rPr>
        <w:noProof/>
      </w:rPr>
    </w:sdtEndPr>
    <w:sdtContent>
      <w:p w14:paraId="38F89C11" w14:textId="20B9B3EE" w:rsidR="00492C20" w:rsidRDefault="00492C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F10FD2" w14:textId="77777777" w:rsidR="00492C20" w:rsidRDefault="00492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4861552"/>
      <w:docPartObj>
        <w:docPartGallery w:val="Page Numbers (Bottom of Page)"/>
        <w:docPartUnique/>
      </w:docPartObj>
    </w:sdtPr>
    <w:sdtEndPr>
      <w:rPr>
        <w:noProof/>
      </w:rPr>
    </w:sdtEndPr>
    <w:sdtContent>
      <w:p w14:paraId="585D73BA" w14:textId="0A8EDAA1" w:rsidR="00492C20" w:rsidRDefault="00492C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5D2B92" w14:textId="77777777" w:rsidR="00492C20" w:rsidRDefault="00492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BEFDB" w14:textId="77777777" w:rsidR="00EB4EF6" w:rsidRDefault="00EB4EF6" w:rsidP="00CA5DE7">
      <w:pPr>
        <w:spacing w:line="240" w:lineRule="auto"/>
      </w:pPr>
      <w:r>
        <w:separator/>
      </w:r>
    </w:p>
  </w:footnote>
  <w:footnote w:type="continuationSeparator" w:id="0">
    <w:p w14:paraId="74A5D950" w14:textId="77777777" w:rsidR="00EB4EF6" w:rsidRDefault="00EB4EF6" w:rsidP="00CA5DE7">
      <w:pPr>
        <w:spacing w:line="240" w:lineRule="auto"/>
      </w:pPr>
      <w:r>
        <w:continuationSeparator/>
      </w:r>
    </w:p>
  </w:footnote>
  <w:footnote w:type="continuationNotice" w:id="1">
    <w:p w14:paraId="14AFC8B3" w14:textId="77777777" w:rsidR="00EB4EF6" w:rsidRDefault="00EB4E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E7D1F"/>
    <w:multiLevelType w:val="hybridMultilevel"/>
    <w:tmpl w:val="C0AE5EEC"/>
    <w:lvl w:ilvl="0" w:tplc="1E04D78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7C6BE7"/>
    <w:multiLevelType w:val="hybridMultilevel"/>
    <w:tmpl w:val="97F2CB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8D35F79"/>
    <w:multiLevelType w:val="hybridMultilevel"/>
    <w:tmpl w:val="D9E85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607CA0"/>
    <w:multiLevelType w:val="hybridMultilevel"/>
    <w:tmpl w:val="2ABE4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466C59"/>
    <w:multiLevelType w:val="hybridMultilevel"/>
    <w:tmpl w:val="B3A0AC7E"/>
    <w:lvl w:ilvl="0" w:tplc="0C09000F">
      <w:start w:val="1"/>
      <w:numFmt w:val="decimal"/>
      <w:lvlText w:val="%1."/>
      <w:lvlJc w:val="left"/>
      <w:pPr>
        <w:ind w:left="-4635" w:hanging="360"/>
      </w:pPr>
    </w:lvl>
    <w:lvl w:ilvl="1" w:tplc="0C090019" w:tentative="1">
      <w:start w:val="1"/>
      <w:numFmt w:val="lowerLetter"/>
      <w:lvlText w:val="%2."/>
      <w:lvlJc w:val="left"/>
      <w:pPr>
        <w:ind w:left="-3915" w:hanging="360"/>
      </w:pPr>
    </w:lvl>
    <w:lvl w:ilvl="2" w:tplc="0C09001B" w:tentative="1">
      <w:start w:val="1"/>
      <w:numFmt w:val="lowerRoman"/>
      <w:lvlText w:val="%3."/>
      <w:lvlJc w:val="right"/>
      <w:pPr>
        <w:ind w:left="-319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1755" w:hanging="360"/>
      </w:pPr>
    </w:lvl>
    <w:lvl w:ilvl="5" w:tplc="0C09001B" w:tentative="1">
      <w:start w:val="1"/>
      <w:numFmt w:val="lowerRoman"/>
      <w:lvlText w:val="%6."/>
      <w:lvlJc w:val="right"/>
      <w:pPr>
        <w:ind w:left="-1035" w:hanging="180"/>
      </w:pPr>
    </w:lvl>
    <w:lvl w:ilvl="6" w:tplc="0C09000F" w:tentative="1">
      <w:start w:val="1"/>
      <w:numFmt w:val="decimal"/>
      <w:lvlText w:val="%7."/>
      <w:lvlJc w:val="left"/>
      <w:pPr>
        <w:ind w:left="-315" w:hanging="360"/>
      </w:pPr>
    </w:lvl>
    <w:lvl w:ilvl="7" w:tplc="0C090019" w:tentative="1">
      <w:start w:val="1"/>
      <w:numFmt w:val="lowerLetter"/>
      <w:lvlText w:val="%8."/>
      <w:lvlJc w:val="left"/>
      <w:pPr>
        <w:ind w:left="405" w:hanging="360"/>
      </w:pPr>
    </w:lvl>
    <w:lvl w:ilvl="8" w:tplc="0C09001B" w:tentative="1">
      <w:start w:val="1"/>
      <w:numFmt w:val="lowerRoman"/>
      <w:lvlText w:val="%9."/>
      <w:lvlJc w:val="right"/>
      <w:pPr>
        <w:ind w:left="1125" w:hanging="180"/>
      </w:pPr>
    </w:lvl>
  </w:abstractNum>
  <w:abstractNum w:abstractNumId="20"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08C1A2A"/>
    <w:multiLevelType w:val="hybridMultilevel"/>
    <w:tmpl w:val="F03E4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ED370B"/>
    <w:multiLevelType w:val="hybridMultilevel"/>
    <w:tmpl w:val="DB2CB6C0"/>
    <w:lvl w:ilvl="0" w:tplc="1E04D78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B478C6"/>
    <w:multiLevelType w:val="hybridMultilevel"/>
    <w:tmpl w:val="2484204E"/>
    <w:lvl w:ilvl="0" w:tplc="1E04D78A">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2779DE"/>
    <w:multiLevelType w:val="hybridMultilevel"/>
    <w:tmpl w:val="EE92E9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AC5146"/>
    <w:multiLevelType w:val="hybridMultilevel"/>
    <w:tmpl w:val="5E00B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10352D"/>
    <w:multiLevelType w:val="hybridMultilevel"/>
    <w:tmpl w:val="64685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824116"/>
    <w:multiLevelType w:val="hybridMultilevel"/>
    <w:tmpl w:val="636C8CFE"/>
    <w:lvl w:ilvl="0" w:tplc="1E04D78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BC6D70"/>
    <w:multiLevelType w:val="hybridMultilevel"/>
    <w:tmpl w:val="613CB2A8"/>
    <w:lvl w:ilvl="0" w:tplc="1E04D78A">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31A4349"/>
    <w:multiLevelType w:val="hybridMultilevel"/>
    <w:tmpl w:val="0DAAB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03197F"/>
    <w:multiLevelType w:val="hybridMultilevel"/>
    <w:tmpl w:val="288040F4"/>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4"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2ED6A49"/>
    <w:multiLevelType w:val="hybridMultilevel"/>
    <w:tmpl w:val="9B244AC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4E78B9"/>
    <w:multiLevelType w:val="hybridMultilevel"/>
    <w:tmpl w:val="8BD84B96"/>
    <w:lvl w:ilvl="0" w:tplc="1E04D78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35F65F8"/>
    <w:multiLevelType w:val="hybridMultilevel"/>
    <w:tmpl w:val="1B32AAE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EF841DC"/>
    <w:multiLevelType w:val="hybridMultilevel"/>
    <w:tmpl w:val="B6DC99FC"/>
    <w:lvl w:ilvl="0" w:tplc="1E04D78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1445374">
    <w:abstractNumId w:val="13"/>
  </w:num>
  <w:num w:numId="2" w16cid:durableId="24865250">
    <w:abstractNumId w:val="35"/>
  </w:num>
  <w:num w:numId="3" w16cid:durableId="1658147415">
    <w:abstractNumId w:val="37"/>
  </w:num>
  <w:num w:numId="4" w16cid:durableId="1324040647">
    <w:abstractNumId w:val="26"/>
  </w:num>
  <w:num w:numId="5" w16cid:durableId="1146044762">
    <w:abstractNumId w:val="43"/>
  </w:num>
  <w:num w:numId="6" w16cid:durableId="1251039544">
    <w:abstractNumId w:val="20"/>
  </w:num>
  <w:num w:numId="7" w16cid:durableId="2024741261">
    <w:abstractNumId w:val="42"/>
  </w:num>
  <w:num w:numId="8" w16cid:durableId="2068187083">
    <w:abstractNumId w:val="14"/>
  </w:num>
  <w:num w:numId="9" w16cid:durableId="503084815">
    <w:abstractNumId w:val="12"/>
  </w:num>
  <w:num w:numId="10" w16cid:durableId="1526602632">
    <w:abstractNumId w:val="24"/>
  </w:num>
  <w:num w:numId="11" w16cid:durableId="1978757687">
    <w:abstractNumId w:val="39"/>
  </w:num>
  <w:num w:numId="12" w16cid:durableId="1778208950">
    <w:abstractNumId w:val="15"/>
  </w:num>
  <w:num w:numId="13" w16cid:durableId="406540324">
    <w:abstractNumId w:val="41"/>
  </w:num>
  <w:num w:numId="14" w16cid:durableId="1294095271">
    <w:abstractNumId w:val="29"/>
  </w:num>
  <w:num w:numId="15" w16cid:durableId="2090760683">
    <w:abstractNumId w:val="11"/>
  </w:num>
  <w:num w:numId="16" w16cid:durableId="2128983">
    <w:abstractNumId w:val="44"/>
  </w:num>
  <w:num w:numId="17" w16cid:durableId="2000648562">
    <w:abstractNumId w:val="34"/>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11752645">
    <w:abstractNumId w:val="33"/>
  </w:num>
  <w:num w:numId="29" w16cid:durableId="21981769">
    <w:abstractNumId w:val="27"/>
  </w:num>
  <w:num w:numId="30" w16cid:durableId="1204636775">
    <w:abstractNumId w:val="30"/>
  </w:num>
  <w:num w:numId="31" w16cid:durableId="1278677064">
    <w:abstractNumId w:val="32"/>
  </w:num>
  <w:num w:numId="32" w16cid:durableId="1373848472">
    <w:abstractNumId w:val="38"/>
  </w:num>
  <w:num w:numId="33" w16cid:durableId="1187983320">
    <w:abstractNumId w:val="22"/>
  </w:num>
  <w:num w:numId="34" w16cid:durableId="465970034">
    <w:abstractNumId w:val="40"/>
  </w:num>
  <w:num w:numId="35" w16cid:durableId="256989672">
    <w:abstractNumId w:val="31"/>
  </w:num>
  <w:num w:numId="36" w16cid:durableId="447352666">
    <w:abstractNumId w:val="23"/>
  </w:num>
  <w:num w:numId="37" w16cid:durableId="118189661">
    <w:abstractNumId w:val="18"/>
  </w:num>
  <w:num w:numId="38" w16cid:durableId="452133353">
    <w:abstractNumId w:val="25"/>
  </w:num>
  <w:num w:numId="39" w16cid:durableId="1250313441">
    <w:abstractNumId w:val="19"/>
  </w:num>
  <w:num w:numId="40" w16cid:durableId="2019965252">
    <w:abstractNumId w:val="17"/>
  </w:num>
  <w:num w:numId="41" w16cid:durableId="761298275">
    <w:abstractNumId w:val="21"/>
  </w:num>
  <w:num w:numId="42" w16cid:durableId="68818710">
    <w:abstractNumId w:val="28"/>
  </w:num>
  <w:num w:numId="43" w16cid:durableId="1841962018">
    <w:abstractNumId w:val="45"/>
  </w:num>
  <w:num w:numId="44" w16cid:durableId="425611746">
    <w:abstractNumId w:val="10"/>
  </w:num>
  <w:num w:numId="45" w16cid:durableId="820078680">
    <w:abstractNumId w:val="36"/>
  </w:num>
  <w:num w:numId="46" w16cid:durableId="249900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24F4B"/>
    <w:rsid w:val="0004775A"/>
    <w:rsid w:val="00077743"/>
    <w:rsid w:val="00087B5A"/>
    <w:rsid w:val="000A0BAA"/>
    <w:rsid w:val="000A2634"/>
    <w:rsid w:val="000A593F"/>
    <w:rsid w:val="000A78CC"/>
    <w:rsid w:val="000B7A17"/>
    <w:rsid w:val="000C38B8"/>
    <w:rsid w:val="000C4BCF"/>
    <w:rsid w:val="000E0DFA"/>
    <w:rsid w:val="000F36A6"/>
    <w:rsid w:val="000F77B2"/>
    <w:rsid w:val="0011625B"/>
    <w:rsid w:val="001507B6"/>
    <w:rsid w:val="001512C9"/>
    <w:rsid w:val="0016256C"/>
    <w:rsid w:val="00167AD4"/>
    <w:rsid w:val="00180417"/>
    <w:rsid w:val="001846DC"/>
    <w:rsid w:val="001B1168"/>
    <w:rsid w:val="001B3EF9"/>
    <w:rsid w:val="001D105B"/>
    <w:rsid w:val="001E601C"/>
    <w:rsid w:val="002018FF"/>
    <w:rsid w:val="0020445D"/>
    <w:rsid w:val="00210CD2"/>
    <w:rsid w:val="00226CC5"/>
    <w:rsid w:val="00226E55"/>
    <w:rsid w:val="00227C56"/>
    <w:rsid w:val="0024026E"/>
    <w:rsid w:val="002655AF"/>
    <w:rsid w:val="002837B0"/>
    <w:rsid w:val="00290893"/>
    <w:rsid w:val="0029360E"/>
    <w:rsid w:val="002A208F"/>
    <w:rsid w:val="002A6496"/>
    <w:rsid w:val="002B06C0"/>
    <w:rsid w:val="002D1266"/>
    <w:rsid w:val="002E538D"/>
    <w:rsid w:val="002E7139"/>
    <w:rsid w:val="002F541D"/>
    <w:rsid w:val="003242C3"/>
    <w:rsid w:val="00325C25"/>
    <w:rsid w:val="00340D9C"/>
    <w:rsid w:val="00346DD0"/>
    <w:rsid w:val="0035177D"/>
    <w:rsid w:val="00390662"/>
    <w:rsid w:val="003C5D4E"/>
    <w:rsid w:val="003D14F6"/>
    <w:rsid w:val="003E5D01"/>
    <w:rsid w:val="003F3DCC"/>
    <w:rsid w:val="00417EB4"/>
    <w:rsid w:val="00424BFC"/>
    <w:rsid w:val="00441245"/>
    <w:rsid w:val="00445D38"/>
    <w:rsid w:val="00445DF1"/>
    <w:rsid w:val="004607A5"/>
    <w:rsid w:val="0046704D"/>
    <w:rsid w:val="00470008"/>
    <w:rsid w:val="004721E1"/>
    <w:rsid w:val="00472D9E"/>
    <w:rsid w:val="00472FDC"/>
    <w:rsid w:val="00484228"/>
    <w:rsid w:val="00490A36"/>
    <w:rsid w:val="004925FB"/>
    <w:rsid w:val="00492C20"/>
    <w:rsid w:val="004C0157"/>
    <w:rsid w:val="004C6618"/>
    <w:rsid w:val="004D402E"/>
    <w:rsid w:val="004E5627"/>
    <w:rsid w:val="004F26D1"/>
    <w:rsid w:val="004F4ABD"/>
    <w:rsid w:val="004F4C11"/>
    <w:rsid w:val="00520F15"/>
    <w:rsid w:val="0053580E"/>
    <w:rsid w:val="00552743"/>
    <w:rsid w:val="005539AE"/>
    <w:rsid w:val="005552C9"/>
    <w:rsid w:val="005A326E"/>
    <w:rsid w:val="005A6DA7"/>
    <w:rsid w:val="005B6BA7"/>
    <w:rsid w:val="005D68EB"/>
    <w:rsid w:val="005E0D09"/>
    <w:rsid w:val="005F17EB"/>
    <w:rsid w:val="00604068"/>
    <w:rsid w:val="0060442B"/>
    <w:rsid w:val="00610053"/>
    <w:rsid w:val="00635296"/>
    <w:rsid w:val="00650793"/>
    <w:rsid w:val="00666F3B"/>
    <w:rsid w:val="00672581"/>
    <w:rsid w:val="00680AF3"/>
    <w:rsid w:val="00681339"/>
    <w:rsid w:val="00681578"/>
    <w:rsid w:val="006A1FAB"/>
    <w:rsid w:val="006B78D8"/>
    <w:rsid w:val="006E32DA"/>
    <w:rsid w:val="006F352B"/>
    <w:rsid w:val="00701D18"/>
    <w:rsid w:val="00707C63"/>
    <w:rsid w:val="0071377C"/>
    <w:rsid w:val="00715C24"/>
    <w:rsid w:val="00753A75"/>
    <w:rsid w:val="00760511"/>
    <w:rsid w:val="00763A5C"/>
    <w:rsid w:val="00764B2C"/>
    <w:rsid w:val="00766C21"/>
    <w:rsid w:val="00783124"/>
    <w:rsid w:val="007907DD"/>
    <w:rsid w:val="007915D1"/>
    <w:rsid w:val="00794603"/>
    <w:rsid w:val="007A7A40"/>
    <w:rsid w:val="007B41C3"/>
    <w:rsid w:val="007B6BDF"/>
    <w:rsid w:val="007C703D"/>
    <w:rsid w:val="00800218"/>
    <w:rsid w:val="008103D9"/>
    <w:rsid w:val="008125EC"/>
    <w:rsid w:val="008176CC"/>
    <w:rsid w:val="00820296"/>
    <w:rsid w:val="00830E34"/>
    <w:rsid w:val="0083413D"/>
    <w:rsid w:val="0086561A"/>
    <w:rsid w:val="00880C83"/>
    <w:rsid w:val="00896A97"/>
    <w:rsid w:val="008A1FBF"/>
    <w:rsid w:val="008C0196"/>
    <w:rsid w:val="008C4C05"/>
    <w:rsid w:val="008C6B2C"/>
    <w:rsid w:val="008C71DE"/>
    <w:rsid w:val="008E2D58"/>
    <w:rsid w:val="008E5919"/>
    <w:rsid w:val="00906B35"/>
    <w:rsid w:val="0091517D"/>
    <w:rsid w:val="00942B7F"/>
    <w:rsid w:val="009435FE"/>
    <w:rsid w:val="009539E3"/>
    <w:rsid w:val="00981AE9"/>
    <w:rsid w:val="00986CDF"/>
    <w:rsid w:val="009958B8"/>
    <w:rsid w:val="009964EE"/>
    <w:rsid w:val="009A1814"/>
    <w:rsid w:val="009A55C9"/>
    <w:rsid w:val="009E2575"/>
    <w:rsid w:val="009E32DD"/>
    <w:rsid w:val="009F5E27"/>
    <w:rsid w:val="00A13D4F"/>
    <w:rsid w:val="00A34776"/>
    <w:rsid w:val="00A51F94"/>
    <w:rsid w:val="00A52EE4"/>
    <w:rsid w:val="00A57B45"/>
    <w:rsid w:val="00A669CA"/>
    <w:rsid w:val="00A95EB5"/>
    <w:rsid w:val="00AA7C26"/>
    <w:rsid w:val="00AB08EB"/>
    <w:rsid w:val="00AB68BE"/>
    <w:rsid w:val="00AC7510"/>
    <w:rsid w:val="00AD7D63"/>
    <w:rsid w:val="00AF3A3D"/>
    <w:rsid w:val="00B02E0D"/>
    <w:rsid w:val="00B15E0C"/>
    <w:rsid w:val="00B16B39"/>
    <w:rsid w:val="00B22146"/>
    <w:rsid w:val="00B23C9A"/>
    <w:rsid w:val="00B27FF4"/>
    <w:rsid w:val="00B30F68"/>
    <w:rsid w:val="00B36EE8"/>
    <w:rsid w:val="00B41083"/>
    <w:rsid w:val="00B45D28"/>
    <w:rsid w:val="00B46B13"/>
    <w:rsid w:val="00B50E6B"/>
    <w:rsid w:val="00B53180"/>
    <w:rsid w:val="00B6799C"/>
    <w:rsid w:val="00B74673"/>
    <w:rsid w:val="00B85EB6"/>
    <w:rsid w:val="00B86DA4"/>
    <w:rsid w:val="00BA737E"/>
    <w:rsid w:val="00BC43CD"/>
    <w:rsid w:val="00BD097C"/>
    <w:rsid w:val="00BE253C"/>
    <w:rsid w:val="00BF1C13"/>
    <w:rsid w:val="00C14F2D"/>
    <w:rsid w:val="00C168B0"/>
    <w:rsid w:val="00C21871"/>
    <w:rsid w:val="00C51D27"/>
    <w:rsid w:val="00C65217"/>
    <w:rsid w:val="00C7418D"/>
    <w:rsid w:val="00C755CA"/>
    <w:rsid w:val="00C82810"/>
    <w:rsid w:val="00C96FD1"/>
    <w:rsid w:val="00CA5DE7"/>
    <w:rsid w:val="00CA6A22"/>
    <w:rsid w:val="00CC4A3D"/>
    <w:rsid w:val="00CE7AAC"/>
    <w:rsid w:val="00CF477C"/>
    <w:rsid w:val="00CF557D"/>
    <w:rsid w:val="00D24ACB"/>
    <w:rsid w:val="00D374FD"/>
    <w:rsid w:val="00D37F54"/>
    <w:rsid w:val="00D423F7"/>
    <w:rsid w:val="00D43B65"/>
    <w:rsid w:val="00D6437A"/>
    <w:rsid w:val="00D77C33"/>
    <w:rsid w:val="00D84B24"/>
    <w:rsid w:val="00D85BD7"/>
    <w:rsid w:val="00DC3630"/>
    <w:rsid w:val="00DE15D9"/>
    <w:rsid w:val="00DF6105"/>
    <w:rsid w:val="00E1034C"/>
    <w:rsid w:val="00E2799D"/>
    <w:rsid w:val="00E40F9B"/>
    <w:rsid w:val="00E41CB0"/>
    <w:rsid w:val="00E7086F"/>
    <w:rsid w:val="00EB4EF6"/>
    <w:rsid w:val="00EC536C"/>
    <w:rsid w:val="00ED0A13"/>
    <w:rsid w:val="00EE3163"/>
    <w:rsid w:val="00EF6506"/>
    <w:rsid w:val="00F06BA7"/>
    <w:rsid w:val="00F11A4C"/>
    <w:rsid w:val="00F163BC"/>
    <w:rsid w:val="00F3535A"/>
    <w:rsid w:val="00F41FA1"/>
    <w:rsid w:val="00F47188"/>
    <w:rsid w:val="00F52480"/>
    <w:rsid w:val="00F62B43"/>
    <w:rsid w:val="00F773C9"/>
    <w:rsid w:val="00F9237A"/>
    <w:rsid w:val="00FB344C"/>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character" w:styleId="CommentReference">
    <w:name w:val="annotation reference"/>
    <w:basedOn w:val="DefaultParagraphFont"/>
    <w:uiPriority w:val="99"/>
    <w:unhideWhenUsed/>
    <w:rsid w:val="00783124"/>
    <w:rPr>
      <w:sz w:val="16"/>
      <w:szCs w:val="16"/>
    </w:rPr>
  </w:style>
  <w:style w:type="paragraph" w:styleId="CommentText">
    <w:name w:val="annotation text"/>
    <w:basedOn w:val="Normal"/>
    <w:link w:val="CommentTextChar"/>
    <w:uiPriority w:val="99"/>
    <w:unhideWhenUsed/>
    <w:rsid w:val="00783124"/>
    <w:pPr>
      <w:spacing w:before="120" w:after="120" w:line="240" w:lineRule="auto"/>
    </w:pPr>
    <w:rPr>
      <w:sz w:val="20"/>
      <w:szCs w:val="20"/>
    </w:rPr>
  </w:style>
  <w:style w:type="character" w:customStyle="1" w:styleId="CommentTextChar">
    <w:name w:val="Comment Text Char"/>
    <w:basedOn w:val="DefaultParagraphFont"/>
    <w:link w:val="CommentText"/>
    <w:uiPriority w:val="99"/>
    <w:rsid w:val="00783124"/>
    <w:rPr>
      <w:rFonts w:ascii="Arial" w:hAnsi="Arial"/>
      <w:sz w:val="20"/>
      <w:szCs w:val="20"/>
    </w:rPr>
  </w:style>
  <w:style w:type="paragraph" w:styleId="TOCHeading">
    <w:name w:val="TOC Heading"/>
    <w:basedOn w:val="Heading1"/>
    <w:next w:val="Normal"/>
    <w:uiPriority w:val="39"/>
    <w:unhideWhenUsed/>
    <w:qFormat/>
    <w:rsid w:val="008E2D58"/>
    <w:pPr>
      <w:spacing w:before="24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E2D58"/>
    <w:pPr>
      <w:spacing w:after="100"/>
    </w:pPr>
  </w:style>
  <w:style w:type="paragraph" w:styleId="TOC2">
    <w:name w:val="toc 2"/>
    <w:basedOn w:val="Normal"/>
    <w:next w:val="Normal"/>
    <w:autoRedefine/>
    <w:uiPriority w:val="39"/>
    <w:unhideWhenUsed/>
    <w:rsid w:val="008E2D58"/>
    <w:pPr>
      <w:spacing w:after="100"/>
      <w:ind w:left="240"/>
    </w:pPr>
  </w:style>
  <w:style w:type="paragraph" w:styleId="TOC3">
    <w:name w:val="toc 3"/>
    <w:basedOn w:val="Normal"/>
    <w:next w:val="Normal"/>
    <w:autoRedefine/>
    <w:uiPriority w:val="39"/>
    <w:unhideWhenUsed/>
    <w:rsid w:val="008E2D5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individualisedservices.org.au/wp-content/uploads/2019/05/Recording-Supported-Decision-Making.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DA7BC6C8-5AC0-4E95-8E6B-449374224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Talking About Safer Services Facilitators Guide_Accessible</vt:lpstr>
    </vt:vector>
  </TitlesOfParts>
  <Company>National Disability Services</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About Safer Services Facilitators Guide_Accessible</dc:title>
  <dc:subject/>
  <dc:creator>National Disability Services Quality &amp; Safeguarding Team</dc:creator>
  <cp:keywords>SaferServices; FacilitatorGuide; Resource</cp:keywords>
  <dc:description/>
  <cp:lastModifiedBy>Jessica Hunt</cp:lastModifiedBy>
  <cp:revision>4</cp:revision>
  <dcterms:created xsi:type="dcterms:W3CDTF">2024-06-24T10:49:00Z</dcterms:created>
  <dcterms:modified xsi:type="dcterms:W3CDTF">2024-06-24T10:52:00Z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